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219" w:rsidRPr="00540842" w:rsidRDefault="000C5219" w:rsidP="000C5219">
      <w:pPr>
        <w:jc w:val="center"/>
        <w:rPr>
          <w:rFonts w:ascii="Arial" w:hAnsi="Arial" w:cs="Arial"/>
          <w:b/>
          <w:sz w:val="40"/>
          <w:szCs w:val="24"/>
        </w:rPr>
      </w:pPr>
      <w:r w:rsidRPr="000C5219">
        <w:rPr>
          <w:rFonts w:ascii="Arial" w:hAnsi="Arial" w:cs="Arial"/>
          <w:b/>
          <w:sz w:val="40"/>
          <w:szCs w:val="24"/>
        </w:rPr>
        <w:t xml:space="preserve">Note de </w:t>
      </w:r>
      <w:r w:rsidR="00ED7A04">
        <w:rPr>
          <w:rFonts w:ascii="Arial" w:hAnsi="Arial" w:cs="Arial"/>
          <w:b/>
          <w:sz w:val="40"/>
          <w:szCs w:val="24"/>
        </w:rPr>
        <w:t>la CGFP et de l’OGBL</w:t>
      </w:r>
      <w:r w:rsidRPr="000C5219">
        <w:rPr>
          <w:rFonts w:ascii="Arial" w:hAnsi="Arial" w:cs="Arial"/>
          <w:b/>
          <w:sz w:val="40"/>
          <w:szCs w:val="24"/>
        </w:rPr>
        <w:t xml:space="preserve"> sur les éléments de réforme fiscale présentés aux partenaires sociaux en date du 28 février 2016 comprenant des propositions en vue de la réunion du 12 mars 2016</w:t>
      </w:r>
      <w:r w:rsidRPr="001F1B87">
        <w:rPr>
          <w:rFonts w:ascii="Arial" w:hAnsi="Arial" w:cs="Arial"/>
          <w:b/>
          <w:sz w:val="40"/>
          <w:szCs w:val="24"/>
        </w:rPr>
        <w:t xml:space="preserve"> entre partenaires sociaux et Gouvernement</w:t>
      </w:r>
    </w:p>
    <w:p w:rsidR="00086E39" w:rsidRPr="00540842" w:rsidRDefault="00086E39" w:rsidP="00700B4B">
      <w:pPr>
        <w:jc w:val="both"/>
        <w:rPr>
          <w:rFonts w:ascii="Arial" w:hAnsi="Arial" w:cs="Arial"/>
          <w:sz w:val="24"/>
          <w:szCs w:val="24"/>
        </w:rPr>
      </w:pPr>
    </w:p>
    <w:p w:rsidR="00086E39" w:rsidRPr="00540842" w:rsidRDefault="00086E39" w:rsidP="00700B4B">
      <w:pPr>
        <w:jc w:val="both"/>
        <w:rPr>
          <w:rFonts w:ascii="Arial" w:hAnsi="Arial" w:cs="Arial"/>
          <w:sz w:val="24"/>
          <w:szCs w:val="24"/>
        </w:rPr>
      </w:pPr>
      <w:r w:rsidRPr="00540842">
        <w:rPr>
          <w:rFonts w:ascii="Arial" w:hAnsi="Arial" w:cs="Arial"/>
          <w:sz w:val="24"/>
          <w:szCs w:val="24"/>
        </w:rPr>
        <w:t>L</w:t>
      </w:r>
      <w:r w:rsidR="00811703" w:rsidRPr="00540842">
        <w:rPr>
          <w:rFonts w:ascii="Arial" w:hAnsi="Arial" w:cs="Arial"/>
          <w:sz w:val="24"/>
          <w:szCs w:val="24"/>
        </w:rPr>
        <w:t>es éléments de</w:t>
      </w:r>
      <w:r w:rsidRPr="00540842">
        <w:rPr>
          <w:rFonts w:ascii="Arial" w:hAnsi="Arial" w:cs="Arial"/>
          <w:sz w:val="24"/>
          <w:szCs w:val="24"/>
        </w:rPr>
        <w:t xml:space="preserve"> réforme fiscale doi</w:t>
      </w:r>
      <w:r w:rsidR="00811703" w:rsidRPr="00540842">
        <w:rPr>
          <w:rFonts w:ascii="Arial" w:hAnsi="Arial" w:cs="Arial"/>
          <w:sz w:val="24"/>
          <w:szCs w:val="24"/>
        </w:rPr>
        <w:t>ven</w:t>
      </w:r>
      <w:r w:rsidRPr="00540842">
        <w:rPr>
          <w:rFonts w:ascii="Arial" w:hAnsi="Arial" w:cs="Arial"/>
          <w:sz w:val="24"/>
          <w:szCs w:val="24"/>
        </w:rPr>
        <w:t>t être mis dans le contexte économique et social actuel et dans le contexte des mesures politiques décidées au cours des années passées. Ces mesures d’assainissement budgétaire ont particulièrement touché les ménages moins aisés et/ou à revenu moyen. Notamment les entreprises ont été épargnées.</w:t>
      </w:r>
    </w:p>
    <w:p w:rsidR="00086E39" w:rsidRPr="00540842" w:rsidRDefault="00086E39" w:rsidP="00700B4B">
      <w:pPr>
        <w:jc w:val="both"/>
        <w:rPr>
          <w:rFonts w:ascii="Arial" w:hAnsi="Arial" w:cs="Arial"/>
          <w:sz w:val="24"/>
          <w:szCs w:val="24"/>
        </w:rPr>
      </w:pPr>
    </w:p>
    <w:p w:rsidR="00086E39" w:rsidRPr="00540842" w:rsidRDefault="00086E39" w:rsidP="00700B4B">
      <w:pPr>
        <w:jc w:val="both"/>
        <w:rPr>
          <w:rFonts w:ascii="Arial" w:hAnsi="Arial" w:cs="Arial"/>
          <w:sz w:val="24"/>
          <w:szCs w:val="24"/>
        </w:rPr>
      </w:pPr>
      <w:r w:rsidRPr="00540842">
        <w:rPr>
          <w:rFonts w:ascii="Arial" w:hAnsi="Arial" w:cs="Arial"/>
          <w:sz w:val="24"/>
          <w:szCs w:val="24"/>
        </w:rPr>
        <w:t xml:space="preserve">Selon nos calculs, les mesures visant les ménages (non adaptation du barème depuis 2009, augmentation de la TVA, introduction de l’IEBT, suppression du forfait de déduction pour frais de déplacement, </w:t>
      </w:r>
      <w:r w:rsidR="00811703" w:rsidRPr="00540842">
        <w:rPr>
          <w:rFonts w:ascii="Arial" w:hAnsi="Arial" w:cs="Arial"/>
          <w:sz w:val="24"/>
          <w:szCs w:val="24"/>
        </w:rPr>
        <w:t xml:space="preserve">réduction </w:t>
      </w:r>
      <w:r w:rsidR="00143D5A" w:rsidRPr="00540842">
        <w:rPr>
          <w:rFonts w:ascii="Arial" w:hAnsi="Arial" w:cs="Arial"/>
          <w:sz w:val="24"/>
          <w:szCs w:val="24"/>
        </w:rPr>
        <w:t xml:space="preserve">du </w:t>
      </w:r>
      <w:r w:rsidR="00811703" w:rsidRPr="00540842">
        <w:rPr>
          <w:rFonts w:ascii="Arial" w:hAnsi="Arial" w:cs="Arial"/>
          <w:sz w:val="24"/>
          <w:szCs w:val="24"/>
        </w:rPr>
        <w:t>plafond déductible en matière d’intérêts débiteurs sur un prêt à la consommation, mesure</w:t>
      </w:r>
      <w:bookmarkStart w:id="0" w:name="_GoBack"/>
      <w:bookmarkEnd w:id="0"/>
      <w:r w:rsidR="00811703" w:rsidRPr="00540842">
        <w:rPr>
          <w:rFonts w:ascii="Arial" w:hAnsi="Arial" w:cs="Arial"/>
          <w:sz w:val="24"/>
          <w:szCs w:val="24"/>
        </w:rPr>
        <w:t>s du paquet d’épargne touchant les ménages) s’élèvent à 635 millions d’euros pour 2016.</w:t>
      </w:r>
    </w:p>
    <w:p w:rsidR="00811703" w:rsidRPr="00540842" w:rsidRDefault="00811703" w:rsidP="00700B4B">
      <w:pPr>
        <w:jc w:val="both"/>
        <w:rPr>
          <w:rFonts w:ascii="Arial" w:hAnsi="Arial" w:cs="Arial"/>
          <w:sz w:val="24"/>
          <w:szCs w:val="24"/>
        </w:rPr>
      </w:pPr>
    </w:p>
    <w:p w:rsidR="00811703" w:rsidRPr="00540842" w:rsidRDefault="00811703" w:rsidP="00700B4B">
      <w:pPr>
        <w:jc w:val="both"/>
        <w:rPr>
          <w:rFonts w:ascii="Arial" w:hAnsi="Arial" w:cs="Arial"/>
          <w:sz w:val="24"/>
          <w:szCs w:val="24"/>
        </w:rPr>
      </w:pPr>
      <w:r w:rsidRPr="00540842">
        <w:rPr>
          <w:rFonts w:ascii="Arial" w:hAnsi="Arial" w:cs="Arial"/>
          <w:sz w:val="24"/>
          <w:szCs w:val="24"/>
        </w:rPr>
        <w:t>Les éléments de réforme fiscale présentés ont été évalués à 400-500 millions. Il faudrait absolument un chiffrage détaillé de toutes les mesures isolément également pour mieux pouvoir apprécier la teneur générale de la réforme.</w:t>
      </w:r>
    </w:p>
    <w:p w:rsidR="00811703" w:rsidRPr="00540842" w:rsidRDefault="00811703" w:rsidP="00700B4B">
      <w:pPr>
        <w:jc w:val="both"/>
        <w:rPr>
          <w:rFonts w:ascii="Arial" w:hAnsi="Arial" w:cs="Arial"/>
          <w:sz w:val="24"/>
          <w:szCs w:val="24"/>
        </w:rPr>
      </w:pPr>
    </w:p>
    <w:p w:rsidR="00811703" w:rsidRPr="00540842" w:rsidRDefault="00811703" w:rsidP="00700B4B">
      <w:pPr>
        <w:jc w:val="both"/>
        <w:rPr>
          <w:rFonts w:ascii="Arial" w:hAnsi="Arial" w:cs="Arial"/>
          <w:b/>
          <w:sz w:val="32"/>
          <w:szCs w:val="24"/>
        </w:rPr>
      </w:pPr>
      <w:r w:rsidRPr="00540842">
        <w:rPr>
          <w:rFonts w:ascii="Arial" w:hAnsi="Arial" w:cs="Arial"/>
          <w:b/>
          <w:sz w:val="32"/>
          <w:szCs w:val="24"/>
        </w:rPr>
        <w:t>L’impôt sur le revenu des collectivités</w:t>
      </w:r>
    </w:p>
    <w:p w:rsidR="00811703" w:rsidRPr="00540842" w:rsidRDefault="00811703" w:rsidP="00700B4B">
      <w:pPr>
        <w:jc w:val="both"/>
        <w:rPr>
          <w:rFonts w:ascii="Arial" w:hAnsi="Arial" w:cs="Arial"/>
          <w:sz w:val="24"/>
          <w:szCs w:val="24"/>
        </w:rPr>
      </w:pPr>
    </w:p>
    <w:p w:rsidR="00811703" w:rsidRPr="00540842" w:rsidRDefault="00811703" w:rsidP="00700B4B">
      <w:pPr>
        <w:jc w:val="both"/>
        <w:rPr>
          <w:rFonts w:ascii="Arial" w:hAnsi="Arial" w:cs="Arial"/>
          <w:sz w:val="24"/>
          <w:szCs w:val="24"/>
        </w:rPr>
      </w:pPr>
      <w:r w:rsidRPr="00540842">
        <w:rPr>
          <w:rFonts w:ascii="Arial" w:hAnsi="Arial" w:cs="Arial"/>
          <w:sz w:val="24"/>
          <w:szCs w:val="24"/>
        </w:rPr>
        <w:t>Les personnes morales bénéficient d’une réduction de leur taux d’imposition à 18%</w:t>
      </w:r>
      <w:r w:rsidR="00C64FA8">
        <w:rPr>
          <w:rFonts w:ascii="Arial" w:hAnsi="Arial" w:cs="Arial"/>
          <w:sz w:val="24"/>
          <w:szCs w:val="24"/>
        </w:rPr>
        <w:t xml:space="preserve"> en 2018 (1</w:t>
      </w:r>
      <w:r w:rsidR="00D267CC">
        <w:rPr>
          <w:rFonts w:ascii="Arial" w:hAnsi="Arial" w:cs="Arial"/>
          <w:sz w:val="24"/>
          <w:szCs w:val="24"/>
        </w:rPr>
        <w:t>9</w:t>
      </w:r>
      <w:r w:rsidR="00C64FA8">
        <w:rPr>
          <w:rFonts w:ascii="Arial" w:hAnsi="Arial" w:cs="Arial"/>
          <w:sz w:val="24"/>
          <w:szCs w:val="24"/>
        </w:rPr>
        <w:t>% en 2017)</w:t>
      </w:r>
      <w:r w:rsidRPr="00540842">
        <w:rPr>
          <w:rFonts w:ascii="Arial" w:hAnsi="Arial" w:cs="Arial"/>
          <w:sz w:val="24"/>
          <w:szCs w:val="24"/>
        </w:rPr>
        <w:t>. Avec des recettes prévues au niveau IRC de 1.569 millions d’euros en 2016 avec un taux de 21%, cela correspondrait à un déchet fiscal de 224 millions d’euros</w:t>
      </w:r>
      <w:r w:rsidR="009677D6" w:rsidRPr="00540842">
        <w:rPr>
          <w:rFonts w:ascii="Arial" w:hAnsi="Arial" w:cs="Arial"/>
          <w:sz w:val="24"/>
          <w:szCs w:val="24"/>
        </w:rPr>
        <w:t xml:space="preserve"> </w:t>
      </w:r>
      <w:r w:rsidR="00C64FA8">
        <w:rPr>
          <w:rFonts w:ascii="Arial" w:hAnsi="Arial" w:cs="Arial"/>
          <w:sz w:val="24"/>
          <w:szCs w:val="24"/>
        </w:rPr>
        <w:t xml:space="preserve">avec un taux de 18% </w:t>
      </w:r>
      <w:r w:rsidR="009677D6" w:rsidRPr="00540842">
        <w:rPr>
          <w:rFonts w:ascii="Arial" w:hAnsi="Arial" w:cs="Arial"/>
          <w:sz w:val="24"/>
          <w:szCs w:val="24"/>
        </w:rPr>
        <w:t>(estimation approximative et statique qui ne tient pas compte de l’augmentation de l’imposition des Soparfi</w:t>
      </w:r>
      <w:r w:rsidR="000C5219" w:rsidRPr="00540842">
        <w:rPr>
          <w:rFonts w:ascii="Arial" w:hAnsi="Arial" w:cs="Arial"/>
          <w:sz w:val="24"/>
          <w:szCs w:val="24"/>
        </w:rPr>
        <w:t>,</w:t>
      </w:r>
      <w:r w:rsidR="009677D6" w:rsidRPr="00540842">
        <w:rPr>
          <w:rFonts w:ascii="Arial" w:hAnsi="Arial" w:cs="Arial"/>
          <w:sz w:val="24"/>
          <w:szCs w:val="24"/>
        </w:rPr>
        <w:t xml:space="preserve"> </w:t>
      </w:r>
      <w:r w:rsidR="000C5219" w:rsidRPr="00540842">
        <w:rPr>
          <w:rFonts w:ascii="Arial" w:hAnsi="Arial" w:cs="Arial"/>
          <w:sz w:val="24"/>
          <w:szCs w:val="24"/>
        </w:rPr>
        <w:t xml:space="preserve">des modifications concernant les petites et moyennes entreprises </w:t>
      </w:r>
      <w:r w:rsidR="009677D6" w:rsidRPr="00540842">
        <w:rPr>
          <w:rFonts w:ascii="Arial" w:hAnsi="Arial" w:cs="Arial"/>
          <w:sz w:val="24"/>
          <w:szCs w:val="24"/>
        </w:rPr>
        <w:t>et des dispositions prévues en matière de report des pertes)</w:t>
      </w:r>
      <w:r w:rsidRPr="00540842">
        <w:rPr>
          <w:rFonts w:ascii="Arial" w:hAnsi="Arial" w:cs="Arial"/>
          <w:sz w:val="24"/>
          <w:szCs w:val="24"/>
        </w:rPr>
        <w:t>.</w:t>
      </w:r>
    </w:p>
    <w:p w:rsidR="00811703" w:rsidRPr="00540842" w:rsidRDefault="00811703" w:rsidP="00700B4B">
      <w:pPr>
        <w:jc w:val="both"/>
        <w:rPr>
          <w:rFonts w:ascii="Arial" w:hAnsi="Arial" w:cs="Arial"/>
          <w:sz w:val="24"/>
          <w:szCs w:val="24"/>
        </w:rPr>
      </w:pPr>
    </w:p>
    <w:p w:rsidR="00811703" w:rsidRPr="00540842" w:rsidRDefault="009677D6" w:rsidP="00700B4B">
      <w:pPr>
        <w:jc w:val="both"/>
        <w:rPr>
          <w:rFonts w:ascii="Arial" w:hAnsi="Arial" w:cs="Arial"/>
          <w:sz w:val="24"/>
          <w:szCs w:val="24"/>
        </w:rPr>
      </w:pPr>
      <w:r w:rsidRPr="00540842">
        <w:rPr>
          <w:rFonts w:ascii="Arial" w:hAnsi="Arial" w:cs="Arial"/>
          <w:sz w:val="24"/>
          <w:szCs w:val="24"/>
        </w:rPr>
        <w:t>Une grande partie du</w:t>
      </w:r>
      <w:r w:rsidR="00811703" w:rsidRPr="00540842">
        <w:rPr>
          <w:rFonts w:ascii="Arial" w:hAnsi="Arial" w:cs="Arial"/>
          <w:sz w:val="24"/>
          <w:szCs w:val="24"/>
        </w:rPr>
        <w:t xml:space="preserve"> paquet présenté par le Gouvernement revient donc aux personnes morales alors que ce sont les ménages qui ont payé la facture au cours des années précédentes et qu’on est déjà dans un contexte où la participation aux recettes fiscales des personnes morales diminue constamment </w:t>
      </w:r>
      <w:r w:rsidRPr="00540842">
        <w:rPr>
          <w:rFonts w:ascii="Arial" w:hAnsi="Arial" w:cs="Arial"/>
          <w:sz w:val="24"/>
          <w:szCs w:val="24"/>
        </w:rPr>
        <w:t xml:space="preserve">en termes relatifs </w:t>
      </w:r>
      <w:r w:rsidR="00811703" w:rsidRPr="00540842">
        <w:rPr>
          <w:rFonts w:ascii="Arial" w:hAnsi="Arial" w:cs="Arial"/>
          <w:sz w:val="24"/>
          <w:szCs w:val="24"/>
        </w:rPr>
        <w:t>ce qui s’illustre parfaitement à l’aide du graphique suivant.</w:t>
      </w:r>
    </w:p>
    <w:p w:rsidR="00811703" w:rsidRPr="00540842" w:rsidRDefault="00811703" w:rsidP="00700B4B">
      <w:pPr>
        <w:jc w:val="both"/>
        <w:rPr>
          <w:rFonts w:ascii="Arial" w:hAnsi="Arial" w:cs="Arial"/>
          <w:sz w:val="24"/>
          <w:szCs w:val="24"/>
        </w:rPr>
      </w:pPr>
    </w:p>
    <w:p w:rsidR="009677D6" w:rsidRPr="000C5219" w:rsidRDefault="009677D6" w:rsidP="00700B4B">
      <w:pPr>
        <w:jc w:val="both"/>
        <w:rPr>
          <w:rFonts w:ascii="Arial" w:hAnsi="Arial" w:cs="Arial"/>
          <w:sz w:val="24"/>
          <w:szCs w:val="24"/>
        </w:rPr>
      </w:pPr>
      <w:r w:rsidRPr="000C5219">
        <w:rPr>
          <w:rFonts w:ascii="Arial" w:hAnsi="Arial" w:cs="Arial"/>
          <w:noProof/>
          <w:sz w:val="24"/>
          <w:szCs w:val="24"/>
          <w:lang w:eastAsia="fr-LU"/>
        </w:rPr>
        <w:lastRenderedPageBreak/>
        <w:drawing>
          <wp:inline distT="0" distB="0" distL="0" distR="0" wp14:anchorId="0A3EECD4" wp14:editId="2B103012">
            <wp:extent cx="5760720" cy="45362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536219"/>
                    </a:xfrm>
                    <a:prstGeom prst="rect">
                      <a:avLst/>
                    </a:prstGeom>
                    <a:noFill/>
                    <a:ln>
                      <a:noFill/>
                    </a:ln>
                  </pic:spPr>
                </pic:pic>
              </a:graphicData>
            </a:graphic>
          </wp:inline>
        </w:drawing>
      </w:r>
    </w:p>
    <w:p w:rsidR="009677D6" w:rsidRPr="000C5219" w:rsidRDefault="009677D6" w:rsidP="00700B4B">
      <w:pPr>
        <w:jc w:val="both"/>
        <w:rPr>
          <w:rFonts w:ascii="Arial" w:hAnsi="Arial" w:cs="Arial"/>
          <w:sz w:val="24"/>
          <w:szCs w:val="24"/>
        </w:rPr>
      </w:pPr>
      <w:r w:rsidRPr="000C5219">
        <w:rPr>
          <w:rFonts w:ascii="Arial" w:hAnsi="Arial" w:cs="Arial"/>
          <w:sz w:val="24"/>
          <w:szCs w:val="24"/>
        </w:rPr>
        <w:t>Source : CES</w:t>
      </w:r>
    </w:p>
    <w:p w:rsidR="009677D6" w:rsidRPr="001F1B87" w:rsidRDefault="009677D6" w:rsidP="00700B4B">
      <w:pPr>
        <w:jc w:val="both"/>
        <w:rPr>
          <w:rFonts w:ascii="Arial" w:hAnsi="Arial" w:cs="Arial"/>
          <w:sz w:val="24"/>
          <w:szCs w:val="24"/>
        </w:rPr>
      </w:pPr>
    </w:p>
    <w:p w:rsidR="009677D6" w:rsidRPr="00540842" w:rsidRDefault="00590C1C" w:rsidP="001813D9">
      <w:pPr>
        <w:pStyle w:val="Default"/>
        <w:jc w:val="both"/>
        <w:rPr>
          <w:i/>
          <w:sz w:val="22"/>
          <w:szCs w:val="22"/>
        </w:rPr>
      </w:pPr>
      <w:r w:rsidRPr="00540842">
        <w:t>En ce qui concerne le taux IRC, les organisations syndicales maintiennent leur position de principe arrêté</w:t>
      </w:r>
      <w:r w:rsidR="00143D5A" w:rsidRPr="00540842">
        <w:t>e</w:t>
      </w:r>
      <w:r w:rsidRPr="00540842">
        <w:t xml:space="preserve"> dans l’avis du Conseil économique et social sur l’analyse des données fiscales au </w:t>
      </w:r>
      <w:r w:rsidR="009677D6" w:rsidRPr="00540842">
        <w:t> Luxembourg: « </w:t>
      </w:r>
      <w:r w:rsidR="009677D6" w:rsidRPr="00540842">
        <w:rPr>
          <w:i/>
          <w:sz w:val="22"/>
          <w:szCs w:val="22"/>
        </w:rPr>
        <w:t xml:space="preserve">La question des conséquences budgétaires d’une baisse des taux est évidemment primordiale. Le groupe salarial remarque qu’il est impossible à ce jour i) de préciser le taux effectif moyen actuel d’imposition des collectivités au Luxembourg ii) d’analyser et de mesurer les répercussions qu’aurait la baisse du taux luxembourgeois d’imposition des entreprises sur les finances publiques et encore moins iii) de déterminer un taux optimal en lien avec l’élargissement de la base d’imposition (avec toutes les incertitudes que celui-ci comporte par ailleurs) qui permettrait, sur le plan des recettes publiques, de neutraliser la baisse du taux nominal d’imposition. </w:t>
      </w:r>
    </w:p>
    <w:p w:rsidR="009677D6" w:rsidRPr="00540842" w:rsidRDefault="009677D6" w:rsidP="001813D9">
      <w:pPr>
        <w:pStyle w:val="Default"/>
        <w:jc w:val="both"/>
        <w:rPr>
          <w:i/>
          <w:sz w:val="22"/>
          <w:szCs w:val="22"/>
        </w:rPr>
      </w:pPr>
    </w:p>
    <w:p w:rsidR="009677D6" w:rsidRPr="00540842" w:rsidRDefault="009677D6" w:rsidP="001813D9">
      <w:pPr>
        <w:pStyle w:val="Default"/>
        <w:jc w:val="both"/>
        <w:rPr>
          <w:i/>
          <w:sz w:val="22"/>
          <w:szCs w:val="22"/>
        </w:rPr>
      </w:pPr>
      <w:r w:rsidRPr="00540842">
        <w:rPr>
          <w:i/>
          <w:sz w:val="22"/>
          <w:szCs w:val="22"/>
        </w:rPr>
        <w:t xml:space="preserve">Or il convient, avant toute réforme portant sur l’imposition des sociétés, de pouvoir comprendre leur base d’imposition, compte tenu des mesures de tempérament et des différentes stratégies d’optimisation fiscales qui permettent déjà actuellement de réduire leur taux effectif d’imposition. Le groupe salarial est d’avis qu’il est primordial de faire une comparaison des éléments favorables au Luxembourg (abattements, exonérations, bonifications sur la base d’imposition des sociétés) par rapport à ceux des autres pays. Une telle analyse permettrait de détecter la marge de </w:t>
      </w:r>
      <w:r w:rsidR="00143D5A" w:rsidRPr="00540842">
        <w:rPr>
          <w:i/>
          <w:sz w:val="22"/>
          <w:szCs w:val="22"/>
        </w:rPr>
        <w:t>manœuvre</w:t>
      </w:r>
      <w:r w:rsidRPr="00540842">
        <w:rPr>
          <w:i/>
          <w:sz w:val="22"/>
          <w:szCs w:val="22"/>
        </w:rPr>
        <w:t xml:space="preserve"> du Luxembourg en vue d’élargir la base d’imposition des personnes morales. </w:t>
      </w:r>
    </w:p>
    <w:p w:rsidR="009677D6" w:rsidRPr="00540842" w:rsidRDefault="009677D6" w:rsidP="001813D9">
      <w:pPr>
        <w:pStyle w:val="Default"/>
        <w:jc w:val="both"/>
        <w:rPr>
          <w:i/>
          <w:sz w:val="22"/>
          <w:szCs w:val="22"/>
        </w:rPr>
      </w:pPr>
    </w:p>
    <w:p w:rsidR="009677D6" w:rsidRPr="00540842" w:rsidRDefault="009677D6" w:rsidP="001813D9">
      <w:pPr>
        <w:pStyle w:val="Default"/>
        <w:jc w:val="both"/>
        <w:rPr>
          <w:i/>
          <w:sz w:val="22"/>
          <w:szCs w:val="22"/>
        </w:rPr>
      </w:pPr>
      <w:r w:rsidRPr="00540842">
        <w:rPr>
          <w:i/>
          <w:sz w:val="22"/>
          <w:szCs w:val="22"/>
        </w:rPr>
        <w:t xml:space="preserve">Une baisse du taux d’imposition des collectivités, qui n’est pas acceptée par le groupe salarial, contribuerait à intensifier la distorsion déjà forte de l’équité fiscale entre les personnes morales et les personnes physiques. Ce déséquilibre contributif des 30 dernières années, qui n’est du reste pas propre au Luxembourg, doit dorénavant être contenu et corrigé. Tout à l’opposée d’une tactique de la baisse des taux, une réforme de l'imposition des entreprises doit plutôt viser une fiscalité axée sur la durabilité (économique, social et environnemental) des activités des entreprises par opposition à une pure optique financière de court terme. </w:t>
      </w:r>
    </w:p>
    <w:p w:rsidR="009677D6" w:rsidRPr="000C5219" w:rsidRDefault="009677D6" w:rsidP="009677D6">
      <w:pPr>
        <w:jc w:val="both"/>
        <w:rPr>
          <w:rFonts w:ascii="Arial" w:hAnsi="Arial" w:cs="Arial"/>
          <w:i/>
        </w:rPr>
      </w:pPr>
    </w:p>
    <w:p w:rsidR="00590C1C" w:rsidRPr="000C5219" w:rsidRDefault="009677D6" w:rsidP="009677D6">
      <w:pPr>
        <w:jc w:val="both"/>
        <w:rPr>
          <w:rFonts w:ascii="Arial" w:hAnsi="Arial" w:cs="Arial"/>
          <w:sz w:val="24"/>
          <w:szCs w:val="24"/>
        </w:rPr>
      </w:pPr>
      <w:r w:rsidRPr="000C5219">
        <w:rPr>
          <w:rFonts w:ascii="Arial" w:hAnsi="Arial" w:cs="Arial"/>
          <w:i/>
        </w:rPr>
        <w:t>Une telle réforme favorisera, dans l’intérêt du renforcement de la base économique et d’emploi du pays, les stratégies d’implantation dans le tissu productif luxembourgeois (économique et social), plutôt que les stratégies d’optimisation fiscale. Autrement dit, elle encouragera les entreprises qui ont une substance qui porte sur des fondements économiques et sociaux réels. Une telle fiscalité diminuerait aussi sans doute la dépendance du Luxembourg à un seul secteur et assurerait les chances de développer le potentiel économique, d’emploi et d’investissement de notre pays, dans le respect de la protection de son environnement social et naturel</w:t>
      </w:r>
      <w:r w:rsidRPr="000C5219">
        <w:rPr>
          <w:rFonts w:ascii="Arial" w:hAnsi="Arial" w:cs="Arial"/>
        </w:rPr>
        <w:t> »</w:t>
      </w:r>
      <w:r w:rsidR="00590C1C" w:rsidRPr="000C5219">
        <w:rPr>
          <w:rFonts w:ascii="Arial" w:hAnsi="Arial" w:cs="Arial"/>
          <w:sz w:val="24"/>
          <w:szCs w:val="24"/>
        </w:rPr>
        <w:t>.</w:t>
      </w:r>
    </w:p>
    <w:p w:rsidR="00590C1C" w:rsidRPr="000C5219" w:rsidRDefault="00590C1C" w:rsidP="00700B4B">
      <w:pPr>
        <w:jc w:val="both"/>
        <w:rPr>
          <w:rFonts w:ascii="Arial" w:hAnsi="Arial" w:cs="Arial"/>
          <w:sz w:val="24"/>
          <w:szCs w:val="24"/>
        </w:rPr>
      </w:pPr>
    </w:p>
    <w:p w:rsidR="000C5219" w:rsidRDefault="000C5219" w:rsidP="000C5219">
      <w:pPr>
        <w:jc w:val="both"/>
        <w:rPr>
          <w:rFonts w:ascii="Arial" w:hAnsi="Arial" w:cs="Arial"/>
          <w:sz w:val="24"/>
          <w:szCs w:val="24"/>
        </w:rPr>
      </w:pPr>
      <w:r w:rsidRPr="00D57AB5">
        <w:rPr>
          <w:rFonts w:ascii="Arial" w:hAnsi="Arial" w:cs="Arial"/>
          <w:sz w:val="24"/>
          <w:szCs w:val="24"/>
        </w:rPr>
        <w:t>De plus, mécaniquement la diminution du taux IRC à 18% va avoir une répercussion sur les recettes au niveau de l’impôt de solidarité payé par les personnes morales qui est déjà en perte de vitesse.</w:t>
      </w:r>
    </w:p>
    <w:p w:rsidR="000C5219" w:rsidRPr="00D57AB5" w:rsidRDefault="000C5219" w:rsidP="000C5219">
      <w:pPr>
        <w:jc w:val="both"/>
        <w:rPr>
          <w:rFonts w:ascii="Arial" w:hAnsi="Arial" w:cs="Arial"/>
          <w:sz w:val="24"/>
          <w:szCs w:val="24"/>
        </w:rPr>
      </w:pPr>
    </w:p>
    <w:p w:rsidR="00811703" w:rsidRPr="000C5219" w:rsidRDefault="00811703" w:rsidP="00811703">
      <w:pPr>
        <w:jc w:val="both"/>
        <w:rPr>
          <w:rFonts w:ascii="Arial" w:hAnsi="Arial" w:cs="Arial"/>
        </w:rPr>
      </w:pPr>
      <w:r w:rsidRPr="000C5219">
        <w:rPr>
          <w:rStyle w:val="GraphiqueChar"/>
          <w:rFonts w:eastAsiaTheme="minorEastAsia"/>
        </w:rPr>
        <w:t>Évolution des recettes au titre de l’IS/IRPP et IS/IRC de 2000 à 2014 (en EUR)</w:t>
      </w:r>
    </w:p>
    <w:p w:rsidR="00811703" w:rsidRPr="000C5219" w:rsidRDefault="00811703" w:rsidP="00811703">
      <w:pPr>
        <w:jc w:val="both"/>
        <w:rPr>
          <w:rFonts w:ascii="Arial" w:hAnsi="Arial" w:cs="Arial"/>
        </w:rPr>
      </w:pPr>
      <w:r w:rsidRPr="000C5219">
        <w:rPr>
          <w:rFonts w:ascii="Arial" w:hAnsi="Arial" w:cs="Arial"/>
          <w:noProof/>
          <w:lang w:eastAsia="fr-LU"/>
        </w:rPr>
        <w:drawing>
          <wp:inline distT="0" distB="0" distL="0" distR="0" wp14:anchorId="2710FF14" wp14:editId="52166241">
            <wp:extent cx="4938666" cy="24232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67199" cy="2437207"/>
                    </a:xfrm>
                    <a:prstGeom prst="rect">
                      <a:avLst/>
                    </a:prstGeom>
                    <a:noFill/>
                  </pic:spPr>
                </pic:pic>
              </a:graphicData>
            </a:graphic>
          </wp:inline>
        </w:drawing>
      </w:r>
    </w:p>
    <w:p w:rsidR="00811703" w:rsidRPr="001F1B87" w:rsidRDefault="00811703" w:rsidP="00811703">
      <w:pPr>
        <w:jc w:val="both"/>
        <w:rPr>
          <w:rFonts w:ascii="Arial" w:hAnsi="Arial" w:cs="Arial"/>
          <w:sz w:val="18"/>
          <w:szCs w:val="18"/>
        </w:rPr>
      </w:pPr>
      <w:r w:rsidRPr="000C5219">
        <w:rPr>
          <w:rFonts w:ascii="Arial" w:hAnsi="Arial" w:cs="Arial"/>
          <w:sz w:val="18"/>
          <w:szCs w:val="18"/>
        </w:rPr>
        <w:t>Source: ACD, Ministère des Finances, Conseil économique et social, Analyse des données fiscales au Luxembourg, p.109</w:t>
      </w:r>
    </w:p>
    <w:p w:rsidR="00811703" w:rsidRPr="00540842" w:rsidRDefault="00811703" w:rsidP="00700B4B">
      <w:pPr>
        <w:jc w:val="both"/>
        <w:rPr>
          <w:rFonts w:ascii="Arial" w:hAnsi="Arial" w:cs="Arial"/>
          <w:sz w:val="24"/>
          <w:szCs w:val="24"/>
        </w:rPr>
      </w:pPr>
    </w:p>
    <w:p w:rsidR="00811703" w:rsidRPr="00540842" w:rsidRDefault="00811703" w:rsidP="00700B4B">
      <w:pPr>
        <w:jc w:val="both"/>
        <w:rPr>
          <w:rFonts w:ascii="Arial" w:hAnsi="Arial" w:cs="Arial"/>
          <w:sz w:val="24"/>
          <w:szCs w:val="24"/>
        </w:rPr>
      </w:pPr>
      <w:r w:rsidRPr="00540842">
        <w:rPr>
          <w:rFonts w:ascii="Arial" w:hAnsi="Arial" w:cs="Arial"/>
          <w:sz w:val="24"/>
          <w:szCs w:val="24"/>
        </w:rPr>
        <w:t>Pour contrebalancer l’effet de la diminution</w:t>
      </w:r>
      <w:r w:rsidR="00F05522">
        <w:rPr>
          <w:rFonts w:ascii="Arial" w:hAnsi="Arial" w:cs="Arial"/>
          <w:sz w:val="24"/>
          <w:szCs w:val="24"/>
        </w:rPr>
        <w:t xml:space="preserve"> éventuelle</w:t>
      </w:r>
      <w:r w:rsidRPr="00540842">
        <w:rPr>
          <w:rFonts w:ascii="Arial" w:hAnsi="Arial" w:cs="Arial"/>
          <w:sz w:val="24"/>
          <w:szCs w:val="24"/>
        </w:rPr>
        <w:t xml:space="preserve"> du taux IRC à ce niveau et pour assurer un certain maintien des recettes du Fonds pour l’emploi dans un contexte où le chômage reste élevé, </w:t>
      </w:r>
      <w:r w:rsidRPr="00540842">
        <w:rPr>
          <w:rFonts w:ascii="Arial" w:hAnsi="Arial" w:cs="Arial"/>
          <w:b/>
          <w:sz w:val="24"/>
          <w:szCs w:val="24"/>
        </w:rPr>
        <w:t>il y a lieu d’augmenter l’impôt de solidarité des personnes morales de 7% à 9%.</w:t>
      </w:r>
    </w:p>
    <w:p w:rsidR="00811703" w:rsidRPr="00540842" w:rsidRDefault="00811703" w:rsidP="00700B4B">
      <w:pPr>
        <w:jc w:val="both"/>
        <w:rPr>
          <w:rFonts w:ascii="Arial" w:hAnsi="Arial" w:cs="Arial"/>
          <w:sz w:val="24"/>
          <w:szCs w:val="24"/>
        </w:rPr>
      </w:pPr>
    </w:p>
    <w:p w:rsidR="00811703" w:rsidRPr="00540842" w:rsidRDefault="00811703" w:rsidP="00700B4B">
      <w:pPr>
        <w:jc w:val="both"/>
        <w:rPr>
          <w:rFonts w:ascii="Arial" w:hAnsi="Arial" w:cs="Arial"/>
          <w:sz w:val="24"/>
          <w:szCs w:val="24"/>
        </w:rPr>
      </w:pPr>
      <w:r w:rsidRPr="00540842">
        <w:rPr>
          <w:rFonts w:ascii="Arial" w:hAnsi="Arial" w:cs="Arial"/>
          <w:sz w:val="24"/>
          <w:szCs w:val="24"/>
        </w:rPr>
        <w:t>Un déchet fiscal de 224 millions au niveau d</w:t>
      </w:r>
      <w:r w:rsidR="00590C1C" w:rsidRPr="00540842">
        <w:rPr>
          <w:rFonts w:ascii="Arial" w:hAnsi="Arial" w:cs="Arial"/>
          <w:sz w:val="24"/>
          <w:szCs w:val="24"/>
        </w:rPr>
        <w:t>e l’</w:t>
      </w:r>
      <w:r w:rsidRPr="00540842">
        <w:rPr>
          <w:rFonts w:ascii="Arial" w:hAnsi="Arial" w:cs="Arial"/>
          <w:sz w:val="24"/>
          <w:szCs w:val="24"/>
        </w:rPr>
        <w:t>IRC entraîne</w:t>
      </w:r>
      <w:r w:rsidR="00F05522">
        <w:rPr>
          <w:rFonts w:ascii="Arial" w:hAnsi="Arial" w:cs="Arial"/>
          <w:sz w:val="24"/>
          <w:szCs w:val="24"/>
        </w:rPr>
        <w:t>rait en effet</w:t>
      </w:r>
      <w:r w:rsidRPr="00540842">
        <w:rPr>
          <w:rFonts w:ascii="Arial" w:hAnsi="Arial" w:cs="Arial"/>
          <w:sz w:val="24"/>
          <w:szCs w:val="24"/>
        </w:rPr>
        <w:t xml:space="preserve"> une perte au niveau de l’impôt de solidarité de </w:t>
      </w:r>
      <w:r w:rsidR="00590C1C" w:rsidRPr="00540842">
        <w:rPr>
          <w:rFonts w:ascii="Arial" w:hAnsi="Arial" w:cs="Arial"/>
          <w:sz w:val="24"/>
          <w:szCs w:val="24"/>
        </w:rPr>
        <w:t>16 millions.</w:t>
      </w:r>
    </w:p>
    <w:p w:rsidR="00590C1C" w:rsidRPr="00540842" w:rsidRDefault="00590C1C" w:rsidP="00700B4B">
      <w:pPr>
        <w:jc w:val="both"/>
        <w:rPr>
          <w:rFonts w:ascii="Arial" w:hAnsi="Arial" w:cs="Arial"/>
          <w:sz w:val="24"/>
          <w:szCs w:val="24"/>
        </w:rPr>
      </w:pPr>
    </w:p>
    <w:p w:rsidR="00590C1C" w:rsidRPr="00540842" w:rsidRDefault="00590C1C" w:rsidP="00700B4B">
      <w:pPr>
        <w:jc w:val="both"/>
        <w:rPr>
          <w:rFonts w:ascii="Arial" w:hAnsi="Arial" w:cs="Arial"/>
          <w:sz w:val="24"/>
          <w:szCs w:val="24"/>
        </w:rPr>
      </w:pPr>
      <w:r w:rsidRPr="00540842">
        <w:rPr>
          <w:rFonts w:ascii="Arial" w:hAnsi="Arial" w:cs="Arial"/>
          <w:sz w:val="24"/>
          <w:szCs w:val="24"/>
        </w:rPr>
        <w:t>Une augmentation du taux de l’impôt de solidarité entrainerait sur base de recettes IRC 2016 diminuées de 224 millions des recettes supplémentaires de 27 millions.</w:t>
      </w:r>
    </w:p>
    <w:p w:rsidR="00811703" w:rsidRPr="00540842" w:rsidRDefault="00811703" w:rsidP="00700B4B">
      <w:pPr>
        <w:jc w:val="both"/>
        <w:rPr>
          <w:rFonts w:ascii="Arial" w:hAnsi="Arial" w:cs="Arial"/>
          <w:sz w:val="24"/>
          <w:szCs w:val="24"/>
        </w:rPr>
      </w:pPr>
    </w:p>
    <w:p w:rsidR="00086E39" w:rsidRPr="00540842" w:rsidRDefault="00086E39" w:rsidP="00700B4B">
      <w:pPr>
        <w:jc w:val="both"/>
        <w:rPr>
          <w:rFonts w:ascii="Arial" w:hAnsi="Arial" w:cs="Arial"/>
          <w:sz w:val="24"/>
          <w:szCs w:val="24"/>
        </w:rPr>
      </w:pPr>
    </w:p>
    <w:p w:rsidR="004E43AD" w:rsidRPr="00540842" w:rsidRDefault="004E43AD" w:rsidP="00700B4B">
      <w:pPr>
        <w:jc w:val="both"/>
        <w:rPr>
          <w:rFonts w:ascii="Arial" w:hAnsi="Arial" w:cs="Arial"/>
          <w:b/>
          <w:sz w:val="36"/>
          <w:szCs w:val="24"/>
        </w:rPr>
      </w:pPr>
      <w:r w:rsidRPr="00540842">
        <w:rPr>
          <w:rFonts w:ascii="Arial" w:hAnsi="Arial" w:cs="Arial"/>
          <w:b/>
          <w:sz w:val="36"/>
          <w:szCs w:val="24"/>
        </w:rPr>
        <w:t>Barème : nouvelle proposition</w:t>
      </w:r>
    </w:p>
    <w:p w:rsidR="004E43AD" w:rsidRPr="00540842" w:rsidRDefault="004E43AD" w:rsidP="00700B4B">
      <w:pPr>
        <w:jc w:val="both"/>
        <w:rPr>
          <w:rFonts w:ascii="Arial" w:hAnsi="Arial" w:cs="Arial"/>
          <w:sz w:val="24"/>
          <w:szCs w:val="24"/>
        </w:rPr>
      </w:pPr>
    </w:p>
    <w:p w:rsidR="00590C1C" w:rsidRPr="000C5219" w:rsidRDefault="00590C1C" w:rsidP="00700B4B">
      <w:pPr>
        <w:jc w:val="both"/>
        <w:rPr>
          <w:rFonts w:ascii="Arial" w:hAnsi="Arial" w:cs="Arial"/>
          <w:sz w:val="24"/>
          <w:szCs w:val="24"/>
        </w:rPr>
      </w:pPr>
      <w:r w:rsidRPr="00540842">
        <w:rPr>
          <w:rFonts w:ascii="Arial" w:hAnsi="Arial" w:cs="Arial"/>
          <w:sz w:val="24"/>
          <w:szCs w:val="24"/>
        </w:rPr>
        <w:t xml:space="preserve">Le barème proposé par le Gouvernement va </w:t>
      </w:r>
      <w:r w:rsidR="00143D5A" w:rsidRPr="00540842">
        <w:rPr>
          <w:rFonts w:ascii="Arial" w:hAnsi="Arial" w:cs="Arial"/>
          <w:sz w:val="24"/>
          <w:szCs w:val="24"/>
        </w:rPr>
        <w:t xml:space="preserve">dans </w:t>
      </w:r>
      <w:r w:rsidRPr="00540842">
        <w:rPr>
          <w:rFonts w:ascii="Arial" w:hAnsi="Arial" w:cs="Arial"/>
          <w:sz w:val="24"/>
          <w:szCs w:val="24"/>
        </w:rPr>
        <w:t xml:space="preserve">la bonne direction mais ne donne pas satisfaction </w:t>
      </w:r>
      <w:r w:rsidR="000C5219">
        <w:rPr>
          <w:rFonts w:ascii="Arial" w:hAnsi="Arial" w:cs="Arial"/>
          <w:sz w:val="24"/>
          <w:szCs w:val="24"/>
        </w:rPr>
        <w:t>à l’OGBL et à la CGFP</w:t>
      </w:r>
      <w:r w:rsidRPr="000C5219">
        <w:rPr>
          <w:rFonts w:ascii="Arial" w:hAnsi="Arial" w:cs="Arial"/>
          <w:sz w:val="24"/>
          <w:szCs w:val="24"/>
        </w:rPr>
        <w:t xml:space="preserve"> vu le contexte soulevé ci avant.</w:t>
      </w:r>
    </w:p>
    <w:p w:rsidR="00590C1C" w:rsidRPr="000C5219" w:rsidRDefault="00590C1C" w:rsidP="00700B4B">
      <w:pPr>
        <w:jc w:val="both"/>
        <w:rPr>
          <w:rFonts w:ascii="Arial" w:hAnsi="Arial" w:cs="Arial"/>
          <w:sz w:val="24"/>
          <w:szCs w:val="24"/>
        </w:rPr>
      </w:pPr>
    </w:p>
    <w:p w:rsidR="00590C1C" w:rsidRPr="000C5219" w:rsidRDefault="00741AAE" w:rsidP="000B3289">
      <w:pPr>
        <w:jc w:val="both"/>
        <w:rPr>
          <w:rFonts w:ascii="Arial" w:hAnsi="Arial" w:cs="Arial"/>
          <w:b/>
          <w:sz w:val="24"/>
          <w:szCs w:val="24"/>
        </w:rPr>
      </w:pPr>
      <w:r>
        <w:rPr>
          <w:rFonts w:ascii="Arial" w:hAnsi="Arial" w:cs="Arial"/>
          <w:sz w:val="24"/>
          <w:szCs w:val="24"/>
        </w:rPr>
        <w:t>La CGFP et l’OGBL</w:t>
      </w:r>
      <w:r w:rsidR="00590C1C" w:rsidRPr="000C5219">
        <w:rPr>
          <w:rFonts w:ascii="Arial" w:hAnsi="Arial" w:cs="Arial"/>
          <w:b/>
          <w:sz w:val="24"/>
          <w:szCs w:val="24"/>
        </w:rPr>
        <w:t xml:space="preserve"> demandent un barème dans lequel</w:t>
      </w:r>
      <w:r w:rsidR="000B3289" w:rsidRPr="000C5219">
        <w:rPr>
          <w:rFonts w:ascii="Arial" w:hAnsi="Arial" w:cs="Arial"/>
          <w:b/>
          <w:sz w:val="24"/>
          <w:szCs w:val="24"/>
        </w:rPr>
        <w:t xml:space="preserve"> </w:t>
      </w:r>
      <w:r w:rsidR="00590C1C" w:rsidRPr="000C5219">
        <w:rPr>
          <w:rFonts w:ascii="Arial" w:hAnsi="Arial" w:cs="Arial"/>
          <w:b/>
          <w:sz w:val="24"/>
          <w:szCs w:val="24"/>
        </w:rPr>
        <w:t>le bénéficiaire du SSM ne paye pas d’impôt (tenant compte d’un crédit d’impôt augmenté selon la proposition gouvernementale)</w:t>
      </w:r>
      <w:r w:rsidR="000B3289" w:rsidRPr="000C5219">
        <w:rPr>
          <w:rFonts w:ascii="Arial" w:hAnsi="Arial" w:cs="Arial"/>
          <w:b/>
          <w:sz w:val="24"/>
          <w:szCs w:val="24"/>
        </w:rPr>
        <w:t>.</w:t>
      </w:r>
    </w:p>
    <w:p w:rsidR="000B3289" w:rsidRPr="001F1B87" w:rsidRDefault="000B3289" w:rsidP="000B3289">
      <w:pPr>
        <w:jc w:val="both"/>
        <w:rPr>
          <w:rFonts w:ascii="Arial" w:hAnsi="Arial" w:cs="Arial"/>
          <w:b/>
          <w:sz w:val="24"/>
          <w:szCs w:val="24"/>
        </w:rPr>
      </w:pPr>
    </w:p>
    <w:p w:rsidR="00590C1C" w:rsidRPr="00540842" w:rsidRDefault="000B3289" w:rsidP="000B3289">
      <w:pPr>
        <w:jc w:val="both"/>
        <w:rPr>
          <w:rFonts w:ascii="Arial" w:hAnsi="Arial" w:cs="Arial"/>
          <w:sz w:val="24"/>
          <w:szCs w:val="24"/>
        </w:rPr>
      </w:pPr>
      <w:r w:rsidRPr="006B64C2">
        <w:rPr>
          <w:rFonts w:ascii="Arial" w:hAnsi="Arial" w:cs="Arial"/>
          <w:b/>
          <w:sz w:val="24"/>
          <w:szCs w:val="24"/>
        </w:rPr>
        <w:t>L</w:t>
      </w:r>
      <w:r w:rsidR="00590C1C" w:rsidRPr="006B64C2">
        <w:rPr>
          <w:rFonts w:ascii="Arial" w:hAnsi="Arial" w:cs="Arial"/>
          <w:b/>
          <w:sz w:val="24"/>
          <w:szCs w:val="24"/>
        </w:rPr>
        <w:t>e taux marginal maximal du barème « normal » intervient trop tôt avec u</w:t>
      </w:r>
      <w:r w:rsidR="00590C1C" w:rsidRPr="00D03146">
        <w:rPr>
          <w:rFonts w:ascii="Arial" w:hAnsi="Arial" w:cs="Arial"/>
          <w:b/>
          <w:sz w:val="24"/>
          <w:szCs w:val="24"/>
        </w:rPr>
        <w:t xml:space="preserve">n niveau de 45900 euros. </w:t>
      </w:r>
      <w:r w:rsidR="00590C1C" w:rsidRPr="00540842">
        <w:rPr>
          <w:rFonts w:ascii="Arial" w:hAnsi="Arial" w:cs="Arial"/>
          <w:sz w:val="24"/>
          <w:szCs w:val="24"/>
        </w:rPr>
        <w:t xml:space="preserve">Selon l’avis précité du CES, le revenu médian annuel équivalent s’élève en 2013 à 33.300 euros et les classes moyennes peuvent être statistiquement définies comme allant de 70 à 150% de ce seuil. 150% de ce seuil seraient alors </w:t>
      </w:r>
      <w:r w:rsidR="006B119B" w:rsidRPr="00540842">
        <w:rPr>
          <w:rFonts w:ascii="Arial" w:hAnsi="Arial" w:cs="Arial"/>
          <w:sz w:val="24"/>
          <w:szCs w:val="24"/>
        </w:rPr>
        <w:t>49.950 euros en ne tenant pas compte de l’évolution depuis 2013.</w:t>
      </w:r>
    </w:p>
    <w:p w:rsidR="000B3289" w:rsidRPr="00540842" w:rsidRDefault="000B3289" w:rsidP="000B3289">
      <w:pPr>
        <w:jc w:val="both"/>
        <w:rPr>
          <w:rFonts w:ascii="Arial" w:hAnsi="Arial" w:cs="Arial"/>
          <w:sz w:val="24"/>
          <w:szCs w:val="24"/>
        </w:rPr>
      </w:pPr>
    </w:p>
    <w:p w:rsidR="006B119B" w:rsidRPr="00540842" w:rsidRDefault="00F05522" w:rsidP="000B3289">
      <w:pPr>
        <w:jc w:val="both"/>
        <w:rPr>
          <w:rFonts w:ascii="Arial" w:hAnsi="Arial" w:cs="Arial"/>
          <w:sz w:val="24"/>
          <w:szCs w:val="24"/>
        </w:rPr>
      </w:pPr>
      <w:r>
        <w:rPr>
          <w:rFonts w:ascii="Arial" w:hAnsi="Arial" w:cs="Arial"/>
          <w:sz w:val="24"/>
          <w:szCs w:val="24"/>
        </w:rPr>
        <w:t>Le taux de 39% devrait</w:t>
      </w:r>
      <w:r w:rsidR="006B119B" w:rsidRPr="00540842">
        <w:rPr>
          <w:rFonts w:ascii="Arial" w:hAnsi="Arial" w:cs="Arial"/>
          <w:sz w:val="24"/>
          <w:szCs w:val="24"/>
        </w:rPr>
        <w:t xml:space="preserve"> intervenir </w:t>
      </w:r>
      <w:r w:rsidRPr="00540842">
        <w:rPr>
          <w:rFonts w:ascii="Arial" w:hAnsi="Arial" w:cs="Arial"/>
          <w:sz w:val="24"/>
          <w:szCs w:val="24"/>
        </w:rPr>
        <w:t xml:space="preserve">au plus </w:t>
      </w:r>
      <w:r>
        <w:rPr>
          <w:rFonts w:ascii="Arial" w:hAnsi="Arial" w:cs="Arial"/>
          <w:sz w:val="24"/>
          <w:szCs w:val="24"/>
        </w:rPr>
        <w:t xml:space="preserve">tôt </w:t>
      </w:r>
      <w:r w:rsidR="006B119B" w:rsidRPr="00540842">
        <w:rPr>
          <w:rFonts w:ascii="Arial" w:hAnsi="Arial" w:cs="Arial"/>
          <w:sz w:val="24"/>
          <w:szCs w:val="24"/>
        </w:rPr>
        <w:t>à ce niveau-là pour favoriser encore les classes moyennes qui profiteraient également d’une largeur des tranches agencée de manière différente</w:t>
      </w:r>
      <w:r w:rsidR="00143D5A" w:rsidRPr="00540842">
        <w:rPr>
          <w:rFonts w:ascii="Arial" w:hAnsi="Arial" w:cs="Arial"/>
          <w:sz w:val="24"/>
          <w:szCs w:val="24"/>
        </w:rPr>
        <w:t>.</w:t>
      </w:r>
    </w:p>
    <w:p w:rsidR="000B3289" w:rsidRPr="00540842" w:rsidRDefault="000B3289" w:rsidP="000B3289">
      <w:pPr>
        <w:jc w:val="both"/>
        <w:rPr>
          <w:rFonts w:ascii="Arial" w:hAnsi="Arial" w:cs="Arial"/>
          <w:sz w:val="24"/>
          <w:szCs w:val="24"/>
        </w:rPr>
      </w:pPr>
    </w:p>
    <w:p w:rsidR="006B119B" w:rsidRPr="00540842" w:rsidRDefault="000B3289" w:rsidP="000B3289">
      <w:pPr>
        <w:jc w:val="both"/>
        <w:rPr>
          <w:rFonts w:ascii="Arial" w:hAnsi="Arial" w:cs="Arial"/>
          <w:sz w:val="24"/>
          <w:szCs w:val="24"/>
        </w:rPr>
      </w:pPr>
      <w:r w:rsidRPr="00540842">
        <w:rPr>
          <w:rFonts w:ascii="Arial" w:hAnsi="Arial" w:cs="Arial"/>
          <w:sz w:val="24"/>
          <w:szCs w:val="24"/>
        </w:rPr>
        <w:t>L</w:t>
      </w:r>
      <w:r w:rsidR="006B119B" w:rsidRPr="00540842">
        <w:rPr>
          <w:rFonts w:ascii="Arial" w:hAnsi="Arial" w:cs="Arial"/>
          <w:sz w:val="24"/>
          <w:szCs w:val="24"/>
        </w:rPr>
        <w:t>es revenus en classe 1 à partir d’un revenu d’environ 145.000 euros seraient pénalisés par le nouveau barème par rapport à la proposition gouvernementale tout en gagnant encore par rapport à la situation actuelle.</w:t>
      </w:r>
    </w:p>
    <w:p w:rsidR="00590C1C" w:rsidRPr="00540842" w:rsidRDefault="00590C1C" w:rsidP="00700B4B">
      <w:pPr>
        <w:jc w:val="both"/>
        <w:rPr>
          <w:rFonts w:ascii="Arial" w:hAnsi="Arial" w:cs="Arial"/>
          <w:sz w:val="24"/>
          <w:szCs w:val="24"/>
        </w:rPr>
      </w:pPr>
    </w:p>
    <w:p w:rsidR="00143D5A" w:rsidRPr="000C5219" w:rsidRDefault="00143D5A" w:rsidP="00700B4B">
      <w:pPr>
        <w:jc w:val="both"/>
        <w:rPr>
          <w:rFonts w:ascii="Arial" w:hAnsi="Arial" w:cs="Arial"/>
          <w:sz w:val="24"/>
          <w:szCs w:val="24"/>
        </w:rPr>
      </w:pPr>
      <w:r w:rsidRPr="00540842">
        <w:rPr>
          <w:rFonts w:ascii="Arial" w:hAnsi="Arial" w:cs="Arial"/>
          <w:sz w:val="24"/>
          <w:szCs w:val="24"/>
        </w:rPr>
        <w:t>Un barème allant dans ce sens est présenté ci</w:t>
      </w:r>
      <w:r w:rsidR="000C5219">
        <w:rPr>
          <w:rFonts w:ascii="Arial" w:hAnsi="Arial" w:cs="Arial"/>
          <w:sz w:val="24"/>
          <w:szCs w:val="24"/>
        </w:rPr>
        <w:t>-</w:t>
      </w:r>
      <w:r w:rsidRPr="000C5219">
        <w:rPr>
          <w:rFonts w:ascii="Arial" w:hAnsi="Arial" w:cs="Arial"/>
          <w:sz w:val="24"/>
          <w:szCs w:val="24"/>
        </w:rPr>
        <w:t>après</w:t>
      </w:r>
      <w:r w:rsidR="001F1B87">
        <w:rPr>
          <w:rFonts w:ascii="Arial" w:hAnsi="Arial" w:cs="Arial"/>
          <w:sz w:val="24"/>
          <w:szCs w:val="24"/>
        </w:rPr>
        <w:t>.</w:t>
      </w:r>
    </w:p>
    <w:p w:rsidR="006B119B" w:rsidRPr="001F1B87" w:rsidRDefault="006B119B" w:rsidP="001F1B87">
      <w:pPr>
        <w:pStyle w:val="Paragraphedeliste"/>
        <w:jc w:val="both"/>
        <w:rPr>
          <w:rFonts w:ascii="Arial" w:hAnsi="Arial" w:cs="Arial"/>
          <w:sz w:val="24"/>
          <w:szCs w:val="24"/>
        </w:rPr>
      </w:pPr>
    </w:p>
    <w:p w:rsidR="006B119B" w:rsidRPr="000C5219" w:rsidRDefault="006B119B" w:rsidP="006B119B">
      <w:pPr>
        <w:keepNext/>
        <w:jc w:val="both"/>
        <w:rPr>
          <w:rFonts w:ascii="Arial" w:hAnsi="Arial" w:cs="Arial"/>
          <w:b/>
          <w:u w:val="single"/>
        </w:rPr>
      </w:pPr>
      <w:r w:rsidRPr="000C5219">
        <w:rPr>
          <w:rFonts w:ascii="Arial" w:hAnsi="Arial" w:cs="Arial"/>
          <w:b/>
          <w:u w:val="single"/>
        </w:rPr>
        <w:t>Barèm</w:t>
      </w:r>
      <w:r w:rsidR="00DA64BC">
        <w:rPr>
          <w:rFonts w:ascii="Arial" w:hAnsi="Arial" w:cs="Arial"/>
          <w:b/>
          <w:u w:val="single"/>
        </w:rPr>
        <w:t xml:space="preserve">e proposé par les syndicats : </w:t>
      </w:r>
      <w:r w:rsidRPr="000C5219">
        <w:rPr>
          <w:rFonts w:ascii="Arial" w:hAnsi="Arial" w:cs="Arial"/>
          <w:b/>
          <w:u w:val="single"/>
        </w:rPr>
        <w:tab/>
        <w:t>Barème 2017 proposé par le Gouvernement</w:t>
      </w:r>
    </w:p>
    <w:p w:rsidR="006B119B" w:rsidRPr="000C5219" w:rsidRDefault="00DA64BC" w:rsidP="006B119B">
      <w:pPr>
        <w:keepNext/>
        <w:jc w:val="both"/>
        <w:rPr>
          <w:rFonts w:ascii="Arial" w:hAnsi="Arial" w:cs="Arial"/>
        </w:rPr>
      </w:pPr>
      <w:r w:rsidRPr="00DA64BC">
        <w:rPr>
          <w:noProof/>
          <w:lang w:eastAsia="fr-LU"/>
        </w:rPr>
        <w:drawing>
          <wp:inline distT="0" distB="0" distL="0" distR="0" wp14:anchorId="3FC43619" wp14:editId="655C38CB">
            <wp:extent cx="5760720" cy="3531408"/>
            <wp:effectExtent l="0" t="0" r="508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531408"/>
                    </a:xfrm>
                    <a:prstGeom prst="rect">
                      <a:avLst/>
                    </a:prstGeom>
                    <a:noFill/>
                    <a:ln>
                      <a:noFill/>
                    </a:ln>
                  </pic:spPr>
                </pic:pic>
              </a:graphicData>
            </a:graphic>
          </wp:inline>
        </w:drawing>
      </w:r>
    </w:p>
    <w:p w:rsidR="00ED7A04" w:rsidRDefault="00ED7A04" w:rsidP="00143D5A">
      <w:pPr>
        <w:jc w:val="both"/>
        <w:rPr>
          <w:rFonts w:ascii="Arial" w:hAnsi="Arial" w:cs="Arial"/>
          <w:sz w:val="24"/>
          <w:szCs w:val="24"/>
        </w:rPr>
      </w:pPr>
    </w:p>
    <w:p w:rsidR="006B64C2" w:rsidRDefault="006B64C2" w:rsidP="00143D5A">
      <w:pPr>
        <w:jc w:val="both"/>
        <w:rPr>
          <w:rFonts w:ascii="Arial" w:hAnsi="Arial" w:cs="Arial"/>
          <w:sz w:val="24"/>
          <w:szCs w:val="24"/>
        </w:rPr>
      </w:pPr>
      <w:r>
        <w:rPr>
          <w:rFonts w:ascii="Arial" w:hAnsi="Arial" w:cs="Arial"/>
          <w:sz w:val="24"/>
          <w:szCs w:val="24"/>
        </w:rPr>
        <w:t>En tenant compte de l’impôt de solidarité et en appliquant un crédit d’impôt de 300 euros pour tout salarié conformément à la législation actuelle, le tableau suivant compare la situation selon le barème proposé par les organisations syndicales par rapport au barème proposé par le Gouvernement et par rapport au barème actuellement applicable.</w:t>
      </w:r>
    </w:p>
    <w:p w:rsidR="006B64C2" w:rsidRDefault="006B64C2" w:rsidP="00143D5A">
      <w:pPr>
        <w:jc w:val="both"/>
        <w:rPr>
          <w:rFonts w:ascii="Arial" w:hAnsi="Arial" w:cs="Arial"/>
          <w:sz w:val="24"/>
          <w:szCs w:val="24"/>
        </w:rPr>
      </w:pPr>
    </w:p>
    <w:p w:rsidR="00D03146" w:rsidRDefault="00D03146" w:rsidP="00143D5A">
      <w:pPr>
        <w:jc w:val="both"/>
        <w:rPr>
          <w:rFonts w:ascii="Arial" w:hAnsi="Arial" w:cs="Arial"/>
          <w:sz w:val="24"/>
          <w:szCs w:val="24"/>
        </w:rPr>
      </w:pPr>
      <w:r>
        <w:rPr>
          <w:rFonts w:ascii="Arial" w:hAnsi="Arial" w:cs="Arial"/>
          <w:sz w:val="24"/>
          <w:szCs w:val="24"/>
        </w:rPr>
        <w:t>Ce tableau ne tient donc pas compte des modifications prévues en matière de crédit d’impôt et de l’abolition de l’IEBT.</w:t>
      </w:r>
    </w:p>
    <w:p w:rsidR="00D03146" w:rsidRDefault="00D03146" w:rsidP="00143D5A">
      <w:pPr>
        <w:jc w:val="both"/>
        <w:rPr>
          <w:rFonts w:ascii="Arial" w:hAnsi="Arial" w:cs="Arial"/>
          <w:sz w:val="24"/>
          <w:szCs w:val="24"/>
        </w:rPr>
      </w:pPr>
    </w:p>
    <w:p w:rsidR="00D03146" w:rsidRPr="00540842" w:rsidRDefault="006B64C2" w:rsidP="00143D5A">
      <w:pPr>
        <w:jc w:val="both"/>
        <w:rPr>
          <w:rFonts w:ascii="Arial" w:hAnsi="Arial" w:cs="Arial"/>
          <w:b/>
          <w:sz w:val="24"/>
          <w:szCs w:val="24"/>
        </w:rPr>
      </w:pPr>
      <w:r w:rsidRPr="00540842">
        <w:rPr>
          <w:rFonts w:ascii="Arial" w:hAnsi="Arial" w:cs="Arial"/>
          <w:b/>
          <w:sz w:val="24"/>
          <w:szCs w:val="24"/>
        </w:rPr>
        <w:t>Pour tous les cas</w:t>
      </w:r>
      <w:r w:rsidR="00D03146" w:rsidRPr="00540842">
        <w:rPr>
          <w:rFonts w:ascii="Arial" w:hAnsi="Arial" w:cs="Arial"/>
          <w:b/>
          <w:sz w:val="24"/>
          <w:szCs w:val="24"/>
        </w:rPr>
        <w:t xml:space="preserve">, la proposition syndicale </w:t>
      </w:r>
      <w:r w:rsidR="00D03146">
        <w:rPr>
          <w:rFonts w:ascii="Arial" w:hAnsi="Arial" w:cs="Arial"/>
          <w:b/>
          <w:sz w:val="24"/>
          <w:szCs w:val="24"/>
        </w:rPr>
        <w:t xml:space="preserve">au niveau du barème </w:t>
      </w:r>
      <w:r w:rsidR="00D03146" w:rsidRPr="00540842">
        <w:rPr>
          <w:rFonts w:ascii="Arial" w:hAnsi="Arial" w:cs="Arial"/>
          <w:b/>
          <w:sz w:val="24"/>
          <w:szCs w:val="24"/>
        </w:rPr>
        <w:t>est plus favorable que la situation actuelle</w:t>
      </w:r>
      <w:r w:rsidR="001D25CB">
        <w:rPr>
          <w:rFonts w:ascii="Arial" w:hAnsi="Arial" w:cs="Arial"/>
          <w:b/>
          <w:sz w:val="24"/>
          <w:szCs w:val="24"/>
        </w:rPr>
        <w:t xml:space="preserve"> jusqu’à un revenu imposable de plus de 200.000 euros en classe 1, c-à-d 400.000 euros en classe 2</w:t>
      </w:r>
      <w:r w:rsidR="00D03146" w:rsidRPr="00540842">
        <w:rPr>
          <w:rFonts w:ascii="Arial" w:hAnsi="Arial" w:cs="Arial"/>
          <w:b/>
          <w:sz w:val="24"/>
          <w:szCs w:val="24"/>
        </w:rPr>
        <w:t>.</w:t>
      </w:r>
    </w:p>
    <w:p w:rsidR="00D03146" w:rsidRDefault="00D03146" w:rsidP="00F05522">
      <w:pPr>
        <w:jc w:val="center"/>
        <w:rPr>
          <w:rFonts w:ascii="Arial" w:hAnsi="Arial" w:cs="Arial"/>
          <w:sz w:val="24"/>
          <w:szCs w:val="24"/>
        </w:rPr>
      </w:pPr>
    </w:p>
    <w:p w:rsidR="00D03146" w:rsidRDefault="00D03146" w:rsidP="00143D5A">
      <w:pPr>
        <w:jc w:val="both"/>
        <w:rPr>
          <w:rFonts w:ascii="Arial" w:hAnsi="Arial" w:cs="Arial"/>
          <w:sz w:val="24"/>
          <w:szCs w:val="24"/>
        </w:rPr>
      </w:pPr>
      <w:r>
        <w:rPr>
          <w:rFonts w:ascii="Arial" w:hAnsi="Arial" w:cs="Arial"/>
          <w:sz w:val="24"/>
          <w:szCs w:val="24"/>
        </w:rPr>
        <w:t>Pour les revenus i</w:t>
      </w:r>
      <w:r w:rsidR="00F05522">
        <w:rPr>
          <w:rFonts w:ascii="Arial" w:hAnsi="Arial" w:cs="Arial"/>
          <w:sz w:val="24"/>
          <w:szCs w:val="24"/>
        </w:rPr>
        <w:t>mposables en classe 1 inférieur</w:t>
      </w:r>
      <w:r w:rsidR="001840C4">
        <w:rPr>
          <w:rFonts w:ascii="Arial" w:hAnsi="Arial" w:cs="Arial"/>
          <w:sz w:val="24"/>
          <w:szCs w:val="24"/>
        </w:rPr>
        <w:t>s à 145.000 euros, respectivement</w:t>
      </w:r>
      <w:r>
        <w:rPr>
          <w:rFonts w:ascii="Arial" w:hAnsi="Arial" w:cs="Arial"/>
          <w:sz w:val="24"/>
          <w:szCs w:val="24"/>
        </w:rPr>
        <w:t xml:space="preserve"> pour les personnes mariées gagnant moins de 290.000 euros, la proposition syndicale est plus favorable que la proposition gouvernementale. </w:t>
      </w:r>
      <w:r w:rsidR="001840C4">
        <w:rPr>
          <w:rFonts w:ascii="Arial" w:hAnsi="Arial" w:cs="Arial"/>
          <w:sz w:val="24"/>
          <w:szCs w:val="24"/>
        </w:rPr>
        <w:t>L</w:t>
      </w:r>
      <w:r>
        <w:rPr>
          <w:rFonts w:ascii="Arial" w:hAnsi="Arial" w:cs="Arial"/>
          <w:sz w:val="24"/>
          <w:szCs w:val="24"/>
        </w:rPr>
        <w:t>es reve</w:t>
      </w:r>
      <w:r w:rsidR="001840C4">
        <w:rPr>
          <w:rFonts w:ascii="Arial" w:hAnsi="Arial" w:cs="Arial"/>
          <w:sz w:val="24"/>
          <w:szCs w:val="24"/>
        </w:rPr>
        <w:t>nus au-delà de ces seuils, à</w:t>
      </w:r>
      <w:r>
        <w:rPr>
          <w:rFonts w:ascii="Arial" w:hAnsi="Arial" w:cs="Arial"/>
          <w:sz w:val="24"/>
          <w:szCs w:val="24"/>
        </w:rPr>
        <w:t xml:space="preserve"> l’inverse</w:t>
      </w:r>
      <w:r w:rsidR="001840C4">
        <w:rPr>
          <w:rFonts w:ascii="Arial" w:hAnsi="Arial" w:cs="Arial"/>
          <w:sz w:val="24"/>
          <w:szCs w:val="24"/>
        </w:rPr>
        <w:t>, sont davantage imposés pour des raisons de justice sociale/fiscale.</w:t>
      </w:r>
    </w:p>
    <w:p w:rsidR="00D03146" w:rsidRDefault="00D03146" w:rsidP="00143D5A">
      <w:pPr>
        <w:jc w:val="both"/>
        <w:rPr>
          <w:rFonts w:ascii="Arial" w:hAnsi="Arial" w:cs="Arial"/>
          <w:sz w:val="24"/>
          <w:szCs w:val="24"/>
        </w:rPr>
      </w:pPr>
    </w:p>
    <w:p w:rsidR="006B64C2" w:rsidRDefault="00D03146" w:rsidP="00143D5A">
      <w:pPr>
        <w:jc w:val="both"/>
        <w:rPr>
          <w:rFonts w:ascii="Arial" w:hAnsi="Arial" w:cs="Arial"/>
          <w:sz w:val="24"/>
          <w:szCs w:val="24"/>
        </w:rPr>
      </w:pPr>
      <w:r>
        <w:rPr>
          <w:rFonts w:ascii="Arial" w:hAnsi="Arial" w:cs="Arial"/>
          <w:sz w:val="24"/>
          <w:szCs w:val="24"/>
        </w:rPr>
        <w:t>Au niveau du salaire minimum, grâce à la proposition syndicale, il faudrait payer un impôt annuel de 295 euros</w:t>
      </w:r>
      <w:r w:rsidR="00F85A0A">
        <w:rPr>
          <w:rFonts w:ascii="Arial" w:hAnsi="Arial" w:cs="Arial"/>
          <w:sz w:val="24"/>
          <w:szCs w:val="24"/>
        </w:rPr>
        <w:t xml:space="preserve"> seulement</w:t>
      </w:r>
      <w:r>
        <w:rPr>
          <w:rFonts w:ascii="Arial" w:hAnsi="Arial" w:cs="Arial"/>
          <w:sz w:val="24"/>
          <w:szCs w:val="24"/>
        </w:rPr>
        <w:t>. Moyennant l’augmentation prévue de 300 euros par le crédit d’impôt, le bénéficiaire du salaire minimum ne payerait donc plus d’impôt.</w:t>
      </w:r>
      <w:r w:rsidR="006B64C2">
        <w:rPr>
          <w:rFonts w:ascii="Arial" w:hAnsi="Arial" w:cs="Arial"/>
          <w:sz w:val="24"/>
          <w:szCs w:val="24"/>
        </w:rPr>
        <w:t xml:space="preserve"> </w:t>
      </w:r>
    </w:p>
    <w:p w:rsidR="005F5470" w:rsidRDefault="005F5470" w:rsidP="00143D5A">
      <w:pPr>
        <w:jc w:val="both"/>
        <w:rPr>
          <w:rFonts w:ascii="Arial" w:hAnsi="Arial" w:cs="Arial"/>
          <w:sz w:val="24"/>
          <w:szCs w:val="24"/>
        </w:rPr>
      </w:pPr>
    </w:p>
    <w:p w:rsidR="005F5470" w:rsidRPr="000C5219" w:rsidRDefault="005F5470" w:rsidP="00143D5A">
      <w:pPr>
        <w:jc w:val="both"/>
        <w:rPr>
          <w:rFonts w:ascii="Arial" w:hAnsi="Arial" w:cs="Arial"/>
          <w:sz w:val="24"/>
          <w:szCs w:val="24"/>
        </w:rPr>
      </w:pPr>
      <w:r>
        <w:rPr>
          <w:rFonts w:ascii="Arial" w:hAnsi="Arial" w:cs="Arial"/>
          <w:sz w:val="24"/>
          <w:szCs w:val="24"/>
        </w:rPr>
        <w:t xml:space="preserve">Un revenu moyen de 3.820 euros bruts par mois gagnerait 315 euros par année en plus par rapport à la proposition gouvernementale. </w:t>
      </w:r>
    </w:p>
    <w:p w:rsidR="00143D5A" w:rsidRPr="000C5219" w:rsidRDefault="00143D5A" w:rsidP="006B119B">
      <w:pPr>
        <w:rPr>
          <w:rFonts w:ascii="Arial" w:hAnsi="Arial" w:cs="Arial"/>
        </w:rPr>
      </w:pPr>
    </w:p>
    <w:p w:rsidR="00143D5A" w:rsidRPr="000C5219" w:rsidRDefault="00143D5A" w:rsidP="006B119B">
      <w:pPr>
        <w:rPr>
          <w:rFonts w:ascii="Arial" w:hAnsi="Arial" w:cs="Arial"/>
        </w:rPr>
      </w:pPr>
    </w:p>
    <w:p w:rsidR="006B119B" w:rsidRPr="000C5219" w:rsidRDefault="001D25CB" w:rsidP="006B119B">
      <w:pPr>
        <w:rPr>
          <w:rFonts w:ascii="Arial" w:hAnsi="Arial" w:cs="Arial"/>
        </w:rPr>
      </w:pPr>
      <w:r w:rsidRPr="001D25CB">
        <w:rPr>
          <w:noProof/>
          <w:lang w:eastAsia="fr-LU"/>
        </w:rPr>
        <w:drawing>
          <wp:inline distT="0" distB="0" distL="0" distR="0" wp14:anchorId="1DFBAA2D" wp14:editId="5ABC3F70">
            <wp:extent cx="5760720" cy="3622805"/>
            <wp:effectExtent l="0" t="0" r="5080" b="9525"/>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3622805"/>
                    </a:xfrm>
                    <a:prstGeom prst="rect">
                      <a:avLst/>
                    </a:prstGeom>
                    <a:noFill/>
                    <a:ln>
                      <a:noFill/>
                    </a:ln>
                  </pic:spPr>
                </pic:pic>
              </a:graphicData>
            </a:graphic>
          </wp:inline>
        </w:drawing>
      </w:r>
    </w:p>
    <w:p w:rsidR="006B119B" w:rsidRPr="000C5219" w:rsidRDefault="006B119B" w:rsidP="00700B4B">
      <w:pPr>
        <w:jc w:val="both"/>
        <w:rPr>
          <w:rFonts w:ascii="Arial" w:hAnsi="Arial" w:cs="Arial"/>
          <w:sz w:val="24"/>
          <w:szCs w:val="24"/>
        </w:rPr>
      </w:pPr>
    </w:p>
    <w:p w:rsidR="006B119B" w:rsidRPr="00540842" w:rsidRDefault="006B119B" w:rsidP="00700B4B">
      <w:pPr>
        <w:jc w:val="both"/>
        <w:rPr>
          <w:rFonts w:ascii="Arial" w:hAnsi="Arial" w:cs="Arial"/>
          <w:sz w:val="24"/>
          <w:szCs w:val="24"/>
        </w:rPr>
      </w:pPr>
    </w:p>
    <w:p w:rsidR="000B3289" w:rsidRPr="00540842" w:rsidRDefault="000B3289" w:rsidP="000B3289">
      <w:pPr>
        <w:jc w:val="both"/>
        <w:rPr>
          <w:rFonts w:ascii="Arial" w:hAnsi="Arial" w:cs="Arial"/>
          <w:b/>
          <w:sz w:val="36"/>
          <w:szCs w:val="24"/>
        </w:rPr>
      </w:pPr>
      <w:r w:rsidRPr="00540842">
        <w:rPr>
          <w:rFonts w:ascii="Arial" w:hAnsi="Arial" w:cs="Arial"/>
          <w:b/>
          <w:sz w:val="36"/>
          <w:szCs w:val="24"/>
        </w:rPr>
        <w:t>Prévoir un mécanisme d’adaptation du barème</w:t>
      </w:r>
    </w:p>
    <w:p w:rsidR="000B3289" w:rsidRPr="00540842" w:rsidRDefault="000B3289" w:rsidP="000B3289">
      <w:pPr>
        <w:jc w:val="both"/>
        <w:rPr>
          <w:rFonts w:ascii="Arial" w:hAnsi="Arial" w:cs="Arial"/>
          <w:sz w:val="28"/>
          <w:szCs w:val="24"/>
        </w:rPr>
      </w:pPr>
    </w:p>
    <w:p w:rsidR="00DD29D4" w:rsidRPr="000C5219" w:rsidRDefault="000B3289" w:rsidP="000B3289">
      <w:pPr>
        <w:jc w:val="both"/>
        <w:rPr>
          <w:rFonts w:ascii="Arial" w:hAnsi="Arial" w:cs="Arial"/>
          <w:b/>
          <w:sz w:val="24"/>
          <w:szCs w:val="24"/>
        </w:rPr>
      </w:pPr>
      <w:r w:rsidRPr="00540842">
        <w:rPr>
          <w:rFonts w:ascii="Arial" w:hAnsi="Arial" w:cs="Arial"/>
          <w:sz w:val="24"/>
          <w:szCs w:val="24"/>
        </w:rPr>
        <w:t>Afin d’éviter qu’une augmentation automatique de la pression fiscale ne se reproduise dans la même mesure qu’au cours des années précédentes</w:t>
      </w:r>
      <w:r w:rsidR="000C5219">
        <w:rPr>
          <w:rFonts w:ascii="Arial" w:hAnsi="Arial" w:cs="Arial"/>
          <w:sz w:val="24"/>
          <w:szCs w:val="24"/>
        </w:rPr>
        <w:t xml:space="preserve"> (pas d’adaptation après une inflation cumulée de plus de 13% depuis la dernière adaptation)</w:t>
      </w:r>
      <w:r w:rsidR="00143D5A" w:rsidRPr="000C5219">
        <w:rPr>
          <w:rFonts w:ascii="Arial" w:hAnsi="Arial" w:cs="Arial"/>
          <w:sz w:val="24"/>
          <w:szCs w:val="24"/>
        </w:rPr>
        <w:t>,</w:t>
      </w:r>
      <w:r w:rsidR="000C5219">
        <w:rPr>
          <w:rFonts w:ascii="Arial" w:hAnsi="Arial" w:cs="Arial"/>
          <w:sz w:val="24"/>
          <w:szCs w:val="24"/>
        </w:rPr>
        <w:t xml:space="preserve"> </w:t>
      </w:r>
      <w:r w:rsidR="00741AAE">
        <w:rPr>
          <w:rFonts w:ascii="Arial" w:hAnsi="Arial" w:cs="Arial"/>
          <w:sz w:val="24"/>
          <w:szCs w:val="24"/>
        </w:rPr>
        <w:t xml:space="preserve">la CGFP et </w:t>
      </w:r>
      <w:r w:rsidR="000C5219" w:rsidRPr="00741AAE">
        <w:rPr>
          <w:rFonts w:ascii="Arial" w:hAnsi="Arial" w:cs="Arial"/>
          <w:sz w:val="24"/>
          <w:szCs w:val="24"/>
        </w:rPr>
        <w:t>l’OGBL</w:t>
      </w:r>
      <w:r w:rsidR="00741AAE">
        <w:rPr>
          <w:rFonts w:ascii="Arial" w:hAnsi="Arial" w:cs="Arial"/>
          <w:b/>
          <w:sz w:val="24"/>
          <w:szCs w:val="24"/>
        </w:rPr>
        <w:t xml:space="preserve"> </w:t>
      </w:r>
      <w:r w:rsidRPr="000C5219">
        <w:rPr>
          <w:rFonts w:ascii="Arial" w:hAnsi="Arial" w:cs="Arial"/>
          <w:b/>
          <w:sz w:val="24"/>
          <w:szCs w:val="24"/>
        </w:rPr>
        <w:t xml:space="preserve">demandent la réintroduction </w:t>
      </w:r>
      <w:r w:rsidR="00C64FA8">
        <w:rPr>
          <w:rFonts w:ascii="Arial" w:hAnsi="Arial" w:cs="Arial"/>
          <w:b/>
          <w:sz w:val="24"/>
          <w:szCs w:val="24"/>
        </w:rPr>
        <w:t xml:space="preserve">d’une disposition à l’instar </w:t>
      </w:r>
      <w:r w:rsidRPr="000C5219">
        <w:rPr>
          <w:rFonts w:ascii="Arial" w:hAnsi="Arial" w:cs="Arial"/>
          <w:b/>
          <w:sz w:val="24"/>
          <w:szCs w:val="24"/>
        </w:rPr>
        <w:t>de l’ancien article 125 LIR tel qu’il existait avant 199</w:t>
      </w:r>
      <w:r w:rsidR="00DD29D4" w:rsidRPr="000C5219">
        <w:rPr>
          <w:rFonts w:ascii="Arial" w:hAnsi="Arial" w:cs="Arial"/>
          <w:b/>
          <w:sz w:val="24"/>
          <w:szCs w:val="24"/>
        </w:rPr>
        <w:t xml:space="preserve">6 </w:t>
      </w:r>
      <w:r w:rsidR="00F85A0A">
        <w:rPr>
          <w:rFonts w:ascii="Arial" w:hAnsi="Arial" w:cs="Arial"/>
          <w:b/>
          <w:sz w:val="24"/>
          <w:szCs w:val="24"/>
        </w:rPr>
        <w:t> :</w:t>
      </w:r>
    </w:p>
    <w:p w:rsidR="00374F53" w:rsidRPr="000C5219" w:rsidRDefault="00374F53" w:rsidP="00374F53">
      <w:pPr>
        <w:autoSpaceDE w:val="0"/>
        <w:autoSpaceDN w:val="0"/>
        <w:adjustRightInd w:val="0"/>
        <w:rPr>
          <w:rFonts w:ascii="Arial" w:hAnsi="Arial" w:cs="Arial"/>
          <w:color w:val="000000"/>
          <w:sz w:val="28"/>
          <w:szCs w:val="28"/>
        </w:rPr>
      </w:pPr>
    </w:p>
    <w:p w:rsidR="00374F53" w:rsidRPr="000C5219" w:rsidRDefault="00374F53" w:rsidP="001813D9">
      <w:pPr>
        <w:autoSpaceDE w:val="0"/>
        <w:autoSpaceDN w:val="0"/>
        <w:adjustRightInd w:val="0"/>
        <w:jc w:val="both"/>
        <w:rPr>
          <w:rFonts w:ascii="Arial" w:hAnsi="Arial" w:cs="Arial"/>
          <w:color w:val="000000"/>
          <w:sz w:val="28"/>
          <w:szCs w:val="28"/>
        </w:rPr>
      </w:pPr>
      <w:r w:rsidRPr="000C5219">
        <w:rPr>
          <w:rFonts w:ascii="Arial" w:hAnsi="Arial" w:cs="Arial"/>
          <w:color w:val="000000"/>
          <w:sz w:val="28"/>
          <w:szCs w:val="28"/>
        </w:rPr>
        <w:t>"</w:t>
      </w:r>
      <w:r w:rsidRPr="000C5219">
        <w:rPr>
          <w:rFonts w:ascii="Arial" w:hAnsi="Arial" w:cs="Arial"/>
          <w:i/>
          <w:iCs/>
          <w:color w:val="000000"/>
          <w:sz w:val="28"/>
          <w:szCs w:val="28"/>
        </w:rPr>
        <w:t xml:space="preserve">Lorsque la moyenne des indices pondérés des prix à la consommation des six premiers mois d'une année accuse, par rapport à la moyenne des indices des six premiers mois de l'année </w:t>
      </w:r>
      <w:r w:rsidRPr="000C5219">
        <w:rPr>
          <w:rFonts w:ascii="Arial" w:hAnsi="Arial" w:cs="Arial"/>
          <w:i/>
          <w:iCs/>
          <w:color w:val="000000"/>
          <w:sz w:val="28"/>
          <w:szCs w:val="28"/>
          <w:u w:val="single"/>
        </w:rPr>
        <w:t>précédant l'entrée en vigueur du tarif</w:t>
      </w:r>
      <w:r w:rsidRPr="000C5219">
        <w:rPr>
          <w:rFonts w:ascii="Arial" w:hAnsi="Arial" w:cs="Arial"/>
          <w:i/>
          <w:iCs/>
          <w:color w:val="000000"/>
          <w:sz w:val="28"/>
          <w:szCs w:val="28"/>
        </w:rPr>
        <w:t xml:space="preserve">, une variation de cinq pour cent au moins, le gouvernement proposera au Grand-Duc d'inclure dans le projet de loi budgétaire pour l'exercice suivant un projet de tarif de l'impôt sur le revenu des personnes physiques révisé en raison de la variation de l'indice pondéré des prix à la consommation </w:t>
      </w:r>
      <w:r w:rsidRPr="000C5219">
        <w:rPr>
          <w:rFonts w:ascii="Arial" w:hAnsi="Arial" w:cs="Arial"/>
          <w:color w:val="000000"/>
          <w:sz w:val="28"/>
          <w:szCs w:val="28"/>
        </w:rPr>
        <w:t xml:space="preserve">(…)". </w:t>
      </w:r>
    </w:p>
    <w:p w:rsidR="00374F53" w:rsidRPr="000C5219" w:rsidRDefault="00374F53" w:rsidP="00143D5A">
      <w:pPr>
        <w:jc w:val="both"/>
        <w:rPr>
          <w:rFonts w:ascii="Arial" w:hAnsi="Arial" w:cs="Arial"/>
          <w:color w:val="000000"/>
          <w:sz w:val="28"/>
          <w:szCs w:val="28"/>
        </w:rPr>
      </w:pPr>
    </w:p>
    <w:p w:rsidR="006B119B" w:rsidRPr="00540842" w:rsidRDefault="006B119B" w:rsidP="00700B4B">
      <w:pPr>
        <w:jc w:val="both"/>
        <w:rPr>
          <w:rFonts w:ascii="Arial" w:hAnsi="Arial" w:cs="Arial"/>
          <w:sz w:val="24"/>
          <w:szCs w:val="24"/>
        </w:rPr>
      </w:pPr>
    </w:p>
    <w:p w:rsidR="00477578" w:rsidRPr="00540842" w:rsidRDefault="00477578" w:rsidP="00700B4B">
      <w:pPr>
        <w:jc w:val="both"/>
        <w:rPr>
          <w:rFonts w:ascii="Arial" w:hAnsi="Arial" w:cs="Arial"/>
          <w:b/>
          <w:sz w:val="36"/>
          <w:szCs w:val="24"/>
        </w:rPr>
      </w:pPr>
      <w:r w:rsidRPr="00540842">
        <w:rPr>
          <w:rFonts w:ascii="Arial" w:hAnsi="Arial" w:cs="Arial"/>
          <w:b/>
          <w:sz w:val="36"/>
          <w:szCs w:val="24"/>
        </w:rPr>
        <w:t>Crédits d’impôt</w:t>
      </w:r>
    </w:p>
    <w:p w:rsidR="00477578" w:rsidRPr="00540842" w:rsidRDefault="00477578" w:rsidP="00700B4B">
      <w:pPr>
        <w:jc w:val="both"/>
        <w:rPr>
          <w:rFonts w:ascii="Arial" w:hAnsi="Arial" w:cs="Arial"/>
          <w:sz w:val="24"/>
          <w:szCs w:val="24"/>
        </w:rPr>
      </w:pPr>
    </w:p>
    <w:p w:rsidR="00477578" w:rsidRPr="00540842" w:rsidRDefault="000C5219" w:rsidP="001F1B87">
      <w:pPr>
        <w:jc w:val="both"/>
        <w:rPr>
          <w:rFonts w:ascii="Arial" w:hAnsi="Arial" w:cs="Arial"/>
          <w:sz w:val="24"/>
          <w:szCs w:val="24"/>
        </w:rPr>
      </w:pPr>
      <w:r>
        <w:rPr>
          <w:rFonts w:ascii="Arial" w:hAnsi="Arial" w:cs="Arial"/>
          <w:sz w:val="24"/>
          <w:szCs w:val="24"/>
        </w:rPr>
        <w:t>L’OGBL et la CGFP</w:t>
      </w:r>
      <w:r w:rsidR="00477578" w:rsidRPr="000C5219">
        <w:rPr>
          <w:rFonts w:ascii="Arial" w:hAnsi="Arial" w:cs="Arial"/>
          <w:sz w:val="24"/>
          <w:szCs w:val="24"/>
        </w:rPr>
        <w:t xml:space="preserve"> </w:t>
      </w:r>
      <w:r w:rsidR="001F1B87">
        <w:rPr>
          <w:rFonts w:ascii="Arial" w:hAnsi="Arial" w:cs="Arial"/>
          <w:sz w:val="24"/>
          <w:szCs w:val="24"/>
        </w:rPr>
        <w:t xml:space="preserve"> </w:t>
      </w:r>
      <w:r w:rsidR="00477578" w:rsidRPr="001F1B87">
        <w:rPr>
          <w:rFonts w:ascii="Arial" w:hAnsi="Arial" w:cs="Arial"/>
          <w:sz w:val="24"/>
          <w:szCs w:val="24"/>
        </w:rPr>
        <w:t xml:space="preserve">apprécient évidemment le caractère social de cette mesure tout en estimant que le crédit actuel devrait </w:t>
      </w:r>
      <w:r w:rsidR="00673BB7">
        <w:rPr>
          <w:rFonts w:ascii="Arial" w:hAnsi="Arial" w:cs="Arial"/>
          <w:sz w:val="24"/>
          <w:szCs w:val="24"/>
        </w:rPr>
        <w:t>être maintenu pour tous les contribuables</w:t>
      </w:r>
      <w:r w:rsidR="00477578" w:rsidRPr="001F1B87">
        <w:rPr>
          <w:rFonts w:ascii="Arial" w:hAnsi="Arial" w:cs="Arial"/>
          <w:sz w:val="24"/>
          <w:szCs w:val="24"/>
        </w:rPr>
        <w:t xml:space="preserve"> et que la dégressivité du montant plus élevé intervient beaucoup trop </w:t>
      </w:r>
      <w:r w:rsidR="00477578" w:rsidRPr="00540842">
        <w:rPr>
          <w:rFonts w:ascii="Arial" w:hAnsi="Arial" w:cs="Arial"/>
          <w:sz w:val="24"/>
          <w:szCs w:val="24"/>
        </w:rPr>
        <w:t xml:space="preserve">tôt à un niveau de 40.000 euros, c’est-à-dire en plein dans les classes moyennes. </w:t>
      </w:r>
    </w:p>
    <w:p w:rsidR="00477578" w:rsidRPr="00540842" w:rsidRDefault="00477578" w:rsidP="00700B4B">
      <w:pPr>
        <w:jc w:val="both"/>
        <w:rPr>
          <w:rFonts w:ascii="Arial" w:hAnsi="Arial" w:cs="Arial"/>
          <w:sz w:val="24"/>
          <w:szCs w:val="24"/>
        </w:rPr>
      </w:pPr>
    </w:p>
    <w:p w:rsidR="00477578" w:rsidRPr="00540842" w:rsidRDefault="00477578" w:rsidP="00700B4B">
      <w:pPr>
        <w:jc w:val="both"/>
        <w:rPr>
          <w:rFonts w:ascii="Arial" w:hAnsi="Arial" w:cs="Arial"/>
          <w:sz w:val="24"/>
          <w:szCs w:val="24"/>
        </w:rPr>
      </w:pPr>
      <w:r w:rsidRPr="00540842">
        <w:rPr>
          <w:rFonts w:ascii="Arial" w:hAnsi="Arial" w:cs="Arial"/>
          <w:sz w:val="24"/>
          <w:szCs w:val="24"/>
        </w:rPr>
        <w:t>Par ailleurs, une personne touchant 80.000 euros est traité</w:t>
      </w:r>
      <w:r w:rsidR="00143D5A" w:rsidRPr="00540842">
        <w:rPr>
          <w:rFonts w:ascii="Arial" w:hAnsi="Arial" w:cs="Arial"/>
          <w:sz w:val="24"/>
          <w:szCs w:val="24"/>
        </w:rPr>
        <w:t>e</w:t>
      </w:r>
      <w:r w:rsidRPr="00540842">
        <w:rPr>
          <w:rFonts w:ascii="Arial" w:hAnsi="Arial" w:cs="Arial"/>
          <w:sz w:val="24"/>
          <w:szCs w:val="24"/>
        </w:rPr>
        <w:t xml:space="preserve"> de la même manière qu’une personne touchant 200.000 euros.</w:t>
      </w:r>
    </w:p>
    <w:p w:rsidR="00477578" w:rsidRDefault="00477578" w:rsidP="00700B4B">
      <w:pPr>
        <w:jc w:val="both"/>
        <w:rPr>
          <w:rFonts w:ascii="Arial" w:hAnsi="Arial" w:cs="Arial"/>
          <w:sz w:val="24"/>
          <w:szCs w:val="24"/>
        </w:rPr>
      </w:pPr>
    </w:p>
    <w:p w:rsidR="006B64C2" w:rsidRPr="006B64C2" w:rsidRDefault="006B64C2" w:rsidP="00700B4B">
      <w:pPr>
        <w:jc w:val="both"/>
        <w:rPr>
          <w:rFonts w:ascii="Arial" w:hAnsi="Arial" w:cs="Arial"/>
          <w:sz w:val="24"/>
          <w:szCs w:val="24"/>
        </w:rPr>
      </w:pPr>
      <w:r>
        <w:rPr>
          <w:rFonts w:ascii="Arial" w:hAnsi="Arial" w:cs="Arial"/>
          <w:sz w:val="24"/>
          <w:szCs w:val="24"/>
        </w:rPr>
        <w:t>L’OGBL et la CGFP estiment que la dégressivité pour le crédit d’impôt supplémentaire prévu devrait jouer à partir de 50.000 euros seulement et s’étirer au moins jusque 100.000 euros.</w:t>
      </w:r>
    </w:p>
    <w:p w:rsidR="00477578" w:rsidRPr="00540842" w:rsidRDefault="00477578" w:rsidP="00700B4B">
      <w:pPr>
        <w:jc w:val="both"/>
        <w:rPr>
          <w:rFonts w:ascii="Arial" w:hAnsi="Arial" w:cs="Arial"/>
          <w:b/>
          <w:sz w:val="36"/>
          <w:szCs w:val="24"/>
        </w:rPr>
      </w:pPr>
    </w:p>
    <w:p w:rsidR="00693373" w:rsidRPr="00540842" w:rsidRDefault="00693373" w:rsidP="00700B4B">
      <w:pPr>
        <w:jc w:val="both"/>
        <w:rPr>
          <w:rFonts w:ascii="Arial" w:hAnsi="Arial" w:cs="Arial"/>
          <w:b/>
          <w:sz w:val="36"/>
          <w:szCs w:val="24"/>
        </w:rPr>
      </w:pPr>
      <w:r w:rsidRPr="00540842">
        <w:rPr>
          <w:rFonts w:ascii="Arial" w:hAnsi="Arial" w:cs="Arial"/>
          <w:b/>
          <w:sz w:val="36"/>
          <w:szCs w:val="24"/>
        </w:rPr>
        <w:t>Abattements</w:t>
      </w:r>
    </w:p>
    <w:p w:rsidR="00693373" w:rsidRPr="00540842" w:rsidRDefault="00693373" w:rsidP="00700B4B">
      <w:pPr>
        <w:jc w:val="both"/>
        <w:rPr>
          <w:rFonts w:ascii="Arial" w:hAnsi="Arial" w:cs="Arial"/>
          <w:sz w:val="24"/>
          <w:szCs w:val="24"/>
        </w:rPr>
      </w:pPr>
    </w:p>
    <w:p w:rsidR="003E4CD9" w:rsidRPr="00540842" w:rsidRDefault="003E4CD9" w:rsidP="00700B4B">
      <w:pPr>
        <w:jc w:val="both"/>
        <w:rPr>
          <w:rFonts w:ascii="Arial" w:hAnsi="Arial" w:cs="Arial"/>
          <w:sz w:val="24"/>
          <w:szCs w:val="24"/>
        </w:rPr>
      </w:pPr>
      <w:r w:rsidRPr="00540842">
        <w:rPr>
          <w:rFonts w:ascii="Arial" w:hAnsi="Arial" w:cs="Arial"/>
          <w:sz w:val="24"/>
          <w:szCs w:val="24"/>
        </w:rPr>
        <w:t>Au niveau des abattements/dépenses spéciales/frais d’obtention, la proposition gouvernementale ne donne pas satisfaction :</w:t>
      </w:r>
    </w:p>
    <w:p w:rsidR="003E4CD9" w:rsidRPr="00540842" w:rsidRDefault="003E4CD9" w:rsidP="00700B4B">
      <w:pPr>
        <w:jc w:val="both"/>
        <w:rPr>
          <w:rFonts w:ascii="Arial" w:hAnsi="Arial" w:cs="Arial"/>
          <w:sz w:val="24"/>
          <w:szCs w:val="24"/>
        </w:rPr>
      </w:pPr>
    </w:p>
    <w:p w:rsidR="003E4CD9" w:rsidRPr="000C5219" w:rsidRDefault="003E4CD9" w:rsidP="003E4CD9">
      <w:pPr>
        <w:pStyle w:val="Paragraphedeliste"/>
        <w:numPr>
          <w:ilvl w:val="0"/>
          <w:numId w:val="3"/>
        </w:numPr>
        <w:jc w:val="both"/>
        <w:rPr>
          <w:rFonts w:ascii="Arial" w:hAnsi="Arial" w:cs="Arial"/>
          <w:sz w:val="24"/>
          <w:szCs w:val="24"/>
        </w:rPr>
      </w:pPr>
      <w:r w:rsidRPr="00540842">
        <w:rPr>
          <w:rFonts w:ascii="Arial" w:hAnsi="Arial" w:cs="Arial"/>
          <w:sz w:val="24"/>
          <w:szCs w:val="24"/>
        </w:rPr>
        <w:t>le ministre de Finances</w:t>
      </w:r>
      <w:r w:rsidR="00143D5A" w:rsidRPr="00540842">
        <w:rPr>
          <w:rFonts w:ascii="Arial" w:hAnsi="Arial" w:cs="Arial"/>
          <w:sz w:val="24"/>
          <w:szCs w:val="24"/>
        </w:rPr>
        <w:t xml:space="preserve"> a</w:t>
      </w:r>
      <w:r w:rsidRPr="00540842">
        <w:rPr>
          <w:rFonts w:ascii="Arial" w:hAnsi="Arial" w:cs="Arial"/>
          <w:sz w:val="24"/>
          <w:szCs w:val="24"/>
        </w:rPr>
        <w:t xml:space="preserve"> annoncé une « </w:t>
      </w:r>
      <w:r w:rsidRPr="00540842">
        <w:rPr>
          <w:rFonts w:ascii="Arial" w:hAnsi="Arial" w:cs="Arial"/>
          <w:b/>
          <w:sz w:val="24"/>
          <w:szCs w:val="24"/>
        </w:rPr>
        <w:t>fusion</w:t>
      </w:r>
      <w:r w:rsidRPr="00540842">
        <w:rPr>
          <w:rFonts w:ascii="Arial" w:hAnsi="Arial" w:cs="Arial"/>
          <w:sz w:val="24"/>
          <w:szCs w:val="24"/>
        </w:rPr>
        <w:t xml:space="preserve"> » de la déduction des primes d’assurance avec celle des intérêts débiteurs avec un plafond </w:t>
      </w:r>
      <w:r w:rsidR="00143D5A" w:rsidRPr="00540842">
        <w:rPr>
          <w:rFonts w:ascii="Arial" w:hAnsi="Arial" w:cs="Arial"/>
          <w:sz w:val="24"/>
          <w:szCs w:val="24"/>
        </w:rPr>
        <w:t xml:space="preserve">global </w:t>
      </w:r>
      <w:r w:rsidRPr="00540842">
        <w:rPr>
          <w:rFonts w:ascii="Arial" w:hAnsi="Arial" w:cs="Arial"/>
          <w:sz w:val="24"/>
          <w:szCs w:val="24"/>
        </w:rPr>
        <w:t xml:space="preserve">de 672 euros. Si </w:t>
      </w:r>
      <w:r w:rsidR="000C5219">
        <w:rPr>
          <w:rFonts w:ascii="Arial" w:hAnsi="Arial" w:cs="Arial"/>
          <w:sz w:val="24"/>
          <w:szCs w:val="24"/>
        </w:rPr>
        <w:t>l’OGBL et la CGFP</w:t>
      </w:r>
      <w:r w:rsidRPr="000C5219">
        <w:rPr>
          <w:rFonts w:ascii="Arial" w:hAnsi="Arial" w:cs="Arial"/>
          <w:sz w:val="24"/>
          <w:szCs w:val="24"/>
        </w:rPr>
        <w:t xml:space="preserve"> approuvent la flexibilité résultant d’une telle fusion, le </w:t>
      </w:r>
      <w:r w:rsidRPr="000C5219">
        <w:rPr>
          <w:rFonts w:ascii="Arial" w:hAnsi="Arial" w:cs="Arial"/>
          <w:b/>
          <w:sz w:val="24"/>
          <w:szCs w:val="24"/>
        </w:rPr>
        <w:t>plafond déductible doit toutefois continuer à s’élever à la somme des deux plafonds actuels </w:t>
      </w:r>
      <w:r w:rsidRPr="000C5219">
        <w:rPr>
          <w:rFonts w:ascii="Arial" w:hAnsi="Arial" w:cs="Arial"/>
          <w:sz w:val="24"/>
          <w:szCs w:val="24"/>
        </w:rPr>
        <w:t>: 672 + 336 = 1008 euros ;</w:t>
      </w:r>
    </w:p>
    <w:p w:rsidR="003E4CD9" w:rsidRPr="00540842" w:rsidRDefault="00741AAE" w:rsidP="003E4CD9">
      <w:pPr>
        <w:pStyle w:val="Paragraphedeliste"/>
        <w:numPr>
          <w:ilvl w:val="0"/>
          <w:numId w:val="3"/>
        </w:numPr>
        <w:jc w:val="both"/>
        <w:rPr>
          <w:rFonts w:ascii="Arial" w:hAnsi="Arial" w:cs="Arial"/>
          <w:sz w:val="24"/>
          <w:szCs w:val="24"/>
        </w:rPr>
      </w:pPr>
      <w:r>
        <w:rPr>
          <w:rFonts w:ascii="Arial" w:hAnsi="Arial" w:cs="Arial"/>
          <w:sz w:val="24"/>
          <w:szCs w:val="24"/>
        </w:rPr>
        <w:t xml:space="preserve">la CGFP et </w:t>
      </w:r>
      <w:r w:rsidR="003E4CD9" w:rsidRPr="000C5219">
        <w:rPr>
          <w:rFonts w:ascii="Arial" w:hAnsi="Arial" w:cs="Arial"/>
          <w:sz w:val="24"/>
          <w:szCs w:val="24"/>
        </w:rPr>
        <w:t>l</w:t>
      </w:r>
      <w:r>
        <w:rPr>
          <w:rFonts w:ascii="Arial" w:hAnsi="Arial" w:cs="Arial"/>
          <w:sz w:val="24"/>
          <w:szCs w:val="24"/>
        </w:rPr>
        <w:t>’OGBL</w:t>
      </w:r>
      <w:r w:rsidR="000C5219">
        <w:rPr>
          <w:rFonts w:ascii="Arial" w:hAnsi="Arial" w:cs="Arial"/>
          <w:sz w:val="24"/>
          <w:szCs w:val="24"/>
        </w:rPr>
        <w:t xml:space="preserve"> </w:t>
      </w:r>
      <w:r w:rsidR="003E4CD9" w:rsidRPr="000C5219">
        <w:rPr>
          <w:rFonts w:ascii="Arial" w:hAnsi="Arial" w:cs="Arial"/>
          <w:b/>
          <w:sz w:val="24"/>
          <w:szCs w:val="24"/>
        </w:rPr>
        <w:t>s’opposent à l’augmentation de la déduction en matière de prévoyance vieillesse</w:t>
      </w:r>
      <w:r w:rsidR="003E4CD9" w:rsidRPr="000C5219">
        <w:rPr>
          <w:rFonts w:ascii="Arial" w:hAnsi="Arial" w:cs="Arial"/>
          <w:sz w:val="24"/>
          <w:szCs w:val="24"/>
        </w:rPr>
        <w:t xml:space="preserve">. L’augmentation prévue profite surtout aux ménages aisés ayant les moyens financiers de contracter de telles assurances, remet en question le régime public d’assurance pension et </w:t>
      </w:r>
      <w:r w:rsidR="003E4CD9" w:rsidRPr="00540842">
        <w:rPr>
          <w:rFonts w:ascii="Arial" w:hAnsi="Arial" w:cs="Arial"/>
          <w:sz w:val="24"/>
          <w:szCs w:val="24"/>
        </w:rPr>
        <w:t xml:space="preserve">profite </w:t>
      </w:r>
      <w:r w:rsidR="00143D5A" w:rsidRPr="00540842">
        <w:rPr>
          <w:rFonts w:ascii="Arial" w:hAnsi="Arial" w:cs="Arial"/>
          <w:sz w:val="24"/>
          <w:szCs w:val="24"/>
        </w:rPr>
        <w:t xml:space="preserve">surtout </w:t>
      </w:r>
      <w:r w:rsidR="003E4CD9" w:rsidRPr="00540842">
        <w:rPr>
          <w:rFonts w:ascii="Arial" w:hAnsi="Arial" w:cs="Arial"/>
          <w:sz w:val="24"/>
          <w:szCs w:val="24"/>
        </w:rPr>
        <w:t>aux entreprises du secteur financier et des assurances.</w:t>
      </w:r>
    </w:p>
    <w:p w:rsidR="003E4CD9" w:rsidRPr="00540842" w:rsidRDefault="003E4CD9" w:rsidP="00700B4B">
      <w:pPr>
        <w:jc w:val="both"/>
        <w:rPr>
          <w:rFonts w:ascii="Arial" w:hAnsi="Arial" w:cs="Arial"/>
          <w:sz w:val="24"/>
          <w:szCs w:val="24"/>
        </w:rPr>
      </w:pPr>
    </w:p>
    <w:p w:rsidR="00693373" w:rsidRPr="00540842" w:rsidRDefault="00693373" w:rsidP="00700B4B">
      <w:pPr>
        <w:jc w:val="both"/>
        <w:rPr>
          <w:rFonts w:ascii="Arial" w:hAnsi="Arial" w:cs="Arial"/>
          <w:sz w:val="24"/>
          <w:szCs w:val="24"/>
        </w:rPr>
      </w:pPr>
      <w:r w:rsidRPr="00540842">
        <w:rPr>
          <w:rFonts w:ascii="Arial" w:hAnsi="Arial" w:cs="Arial"/>
          <w:sz w:val="24"/>
          <w:szCs w:val="24"/>
        </w:rPr>
        <w:t>L’adaptation d’abattements qui profitent à tous est préférable à celle d’abattements qui privilégient les ménages aisés comme la prévoyance vieillesse :</w:t>
      </w:r>
    </w:p>
    <w:p w:rsidR="00693373" w:rsidRPr="00540842" w:rsidRDefault="00693373" w:rsidP="00700B4B">
      <w:pPr>
        <w:jc w:val="both"/>
        <w:rPr>
          <w:rFonts w:ascii="Arial" w:hAnsi="Arial" w:cs="Arial"/>
          <w:sz w:val="24"/>
          <w:szCs w:val="24"/>
        </w:rPr>
      </w:pPr>
    </w:p>
    <w:p w:rsidR="00693373" w:rsidRPr="00540842" w:rsidRDefault="003E4CD9" w:rsidP="00693373">
      <w:pPr>
        <w:pStyle w:val="Paragraphedeliste"/>
        <w:numPr>
          <w:ilvl w:val="0"/>
          <w:numId w:val="3"/>
        </w:numPr>
        <w:jc w:val="both"/>
        <w:rPr>
          <w:rFonts w:ascii="Arial" w:hAnsi="Arial" w:cs="Arial"/>
          <w:sz w:val="24"/>
          <w:szCs w:val="24"/>
        </w:rPr>
      </w:pPr>
      <w:r w:rsidRPr="00540842">
        <w:rPr>
          <w:rFonts w:ascii="Arial" w:hAnsi="Arial" w:cs="Arial"/>
          <w:sz w:val="24"/>
          <w:szCs w:val="24"/>
        </w:rPr>
        <w:t xml:space="preserve">les </w:t>
      </w:r>
      <w:r w:rsidRPr="00540842">
        <w:rPr>
          <w:rFonts w:ascii="Arial" w:hAnsi="Arial" w:cs="Arial"/>
          <w:b/>
          <w:sz w:val="24"/>
          <w:szCs w:val="24"/>
        </w:rPr>
        <w:t>f</w:t>
      </w:r>
      <w:r w:rsidR="00FA5C3D" w:rsidRPr="00540842">
        <w:rPr>
          <w:rFonts w:ascii="Arial" w:hAnsi="Arial" w:cs="Arial"/>
          <w:b/>
          <w:sz w:val="24"/>
          <w:szCs w:val="24"/>
        </w:rPr>
        <w:t>rais de déplacement</w:t>
      </w:r>
      <w:r w:rsidR="007B0852" w:rsidRPr="00540842">
        <w:rPr>
          <w:rFonts w:ascii="Arial" w:hAnsi="Arial" w:cs="Arial"/>
          <w:sz w:val="24"/>
          <w:szCs w:val="24"/>
        </w:rPr>
        <w:t xml:space="preserve"> dont profitent tous les salariés éloignés de plus de 4 km de leur lieu de travail ;</w:t>
      </w:r>
    </w:p>
    <w:p w:rsidR="00FA5C3D" w:rsidRPr="00540842" w:rsidRDefault="007B0852" w:rsidP="00693373">
      <w:pPr>
        <w:pStyle w:val="Paragraphedeliste"/>
        <w:numPr>
          <w:ilvl w:val="0"/>
          <w:numId w:val="3"/>
        </w:numPr>
        <w:jc w:val="both"/>
        <w:rPr>
          <w:rFonts w:ascii="Arial" w:hAnsi="Arial" w:cs="Arial"/>
          <w:sz w:val="24"/>
          <w:szCs w:val="24"/>
        </w:rPr>
      </w:pPr>
      <w:r w:rsidRPr="00540842">
        <w:rPr>
          <w:rFonts w:ascii="Arial" w:hAnsi="Arial" w:cs="Arial"/>
          <w:sz w:val="24"/>
          <w:szCs w:val="24"/>
        </w:rPr>
        <w:t>l’</w:t>
      </w:r>
      <w:r w:rsidRPr="00540842">
        <w:rPr>
          <w:rFonts w:ascii="Arial" w:hAnsi="Arial" w:cs="Arial"/>
          <w:b/>
          <w:sz w:val="24"/>
          <w:szCs w:val="24"/>
        </w:rPr>
        <w:t>abattement pour f</w:t>
      </w:r>
      <w:r w:rsidR="00FA5C3D" w:rsidRPr="00540842">
        <w:rPr>
          <w:rFonts w:ascii="Arial" w:hAnsi="Arial" w:cs="Arial"/>
          <w:b/>
          <w:sz w:val="24"/>
          <w:szCs w:val="24"/>
        </w:rPr>
        <w:t>rais de domesticité</w:t>
      </w:r>
      <w:r w:rsidRPr="00540842">
        <w:rPr>
          <w:rFonts w:ascii="Arial" w:hAnsi="Arial" w:cs="Arial"/>
          <w:b/>
          <w:sz w:val="24"/>
          <w:szCs w:val="24"/>
        </w:rPr>
        <w:t xml:space="preserve">, pour frais d’aides et de soins en raison de l’état de dépendance et pour frais de garde d’enfants doit être augmenté pour tenir compte du modèle de famille </w:t>
      </w:r>
      <w:r w:rsidRPr="00540842">
        <w:rPr>
          <w:rFonts w:ascii="Arial" w:hAnsi="Arial" w:cs="Arial"/>
          <w:sz w:val="24"/>
          <w:szCs w:val="24"/>
        </w:rPr>
        <w:t>que nous connaissons, c’est-à-dire que les deux parents travaillent, mais aussi pour repousser l’évolution du travail au noir dans ces domaines</w:t>
      </w:r>
      <w:r w:rsidR="00673BB7">
        <w:rPr>
          <w:rStyle w:val="Appelnotedebasdep"/>
          <w:rFonts w:ascii="Arial" w:hAnsi="Arial" w:cs="Arial"/>
          <w:sz w:val="24"/>
          <w:szCs w:val="24"/>
        </w:rPr>
        <w:footnoteReference w:id="1"/>
      </w:r>
      <w:r w:rsidR="00311CAC" w:rsidRPr="00540842">
        <w:rPr>
          <w:rFonts w:ascii="Arial" w:hAnsi="Arial" w:cs="Arial"/>
          <w:sz w:val="24"/>
          <w:szCs w:val="24"/>
        </w:rPr>
        <w:t xml:space="preserve">. L’argument de </w:t>
      </w:r>
      <w:r w:rsidR="00143D5A" w:rsidRPr="00540842">
        <w:rPr>
          <w:rFonts w:ascii="Arial" w:hAnsi="Arial" w:cs="Arial"/>
          <w:sz w:val="24"/>
          <w:szCs w:val="24"/>
        </w:rPr>
        <w:t xml:space="preserve">soutenir </w:t>
      </w:r>
      <w:r w:rsidR="00311CAC" w:rsidRPr="00540842">
        <w:rPr>
          <w:rFonts w:ascii="Arial" w:hAnsi="Arial" w:cs="Arial"/>
          <w:sz w:val="24"/>
          <w:szCs w:val="24"/>
        </w:rPr>
        <w:t>ce modèle de famille est par ailleurs avancé par le Gouvernement dans d’autres dossiers…</w:t>
      </w:r>
      <w:r w:rsidRPr="00540842">
        <w:rPr>
          <w:rFonts w:ascii="Arial" w:hAnsi="Arial" w:cs="Arial"/>
          <w:sz w:val="24"/>
          <w:szCs w:val="24"/>
        </w:rPr>
        <w:t> ;</w:t>
      </w:r>
    </w:p>
    <w:p w:rsidR="00FA5C3D" w:rsidRPr="00540842" w:rsidRDefault="007B0852" w:rsidP="00693373">
      <w:pPr>
        <w:pStyle w:val="Paragraphedeliste"/>
        <w:numPr>
          <w:ilvl w:val="0"/>
          <w:numId w:val="3"/>
        </w:numPr>
        <w:jc w:val="both"/>
        <w:rPr>
          <w:rFonts w:ascii="Arial" w:hAnsi="Arial" w:cs="Arial"/>
          <w:sz w:val="24"/>
          <w:szCs w:val="24"/>
        </w:rPr>
      </w:pPr>
      <w:r w:rsidRPr="00540842">
        <w:rPr>
          <w:rFonts w:ascii="Arial" w:hAnsi="Arial" w:cs="Arial"/>
          <w:sz w:val="24"/>
          <w:szCs w:val="24"/>
        </w:rPr>
        <w:t>l’</w:t>
      </w:r>
      <w:r w:rsidRPr="00540842">
        <w:rPr>
          <w:rFonts w:ascii="Arial" w:hAnsi="Arial" w:cs="Arial"/>
          <w:b/>
          <w:sz w:val="24"/>
          <w:szCs w:val="24"/>
        </w:rPr>
        <w:t>abattement e</w:t>
      </w:r>
      <w:r w:rsidR="00FA5C3D" w:rsidRPr="00540842">
        <w:rPr>
          <w:rFonts w:ascii="Arial" w:hAnsi="Arial" w:cs="Arial"/>
          <w:b/>
          <w:sz w:val="24"/>
          <w:szCs w:val="24"/>
        </w:rPr>
        <w:t>xtraprofessionnel</w:t>
      </w:r>
      <w:r w:rsidRPr="00540842">
        <w:rPr>
          <w:rFonts w:ascii="Arial" w:hAnsi="Arial" w:cs="Arial"/>
          <w:b/>
          <w:sz w:val="24"/>
          <w:szCs w:val="24"/>
        </w:rPr>
        <w:t xml:space="preserve"> </w:t>
      </w:r>
      <w:r w:rsidRPr="00540842">
        <w:rPr>
          <w:rFonts w:ascii="Arial" w:hAnsi="Arial" w:cs="Arial"/>
          <w:sz w:val="24"/>
          <w:szCs w:val="24"/>
        </w:rPr>
        <w:t>devrait également augmenter vu que de plus en plus souvent les deux parents travaillent ;</w:t>
      </w:r>
    </w:p>
    <w:p w:rsidR="00FA5C3D" w:rsidRPr="00540842" w:rsidRDefault="007B0852" w:rsidP="00693373">
      <w:pPr>
        <w:pStyle w:val="Paragraphedeliste"/>
        <w:numPr>
          <w:ilvl w:val="0"/>
          <w:numId w:val="3"/>
        </w:numPr>
        <w:jc w:val="both"/>
        <w:rPr>
          <w:rFonts w:ascii="Arial" w:hAnsi="Arial" w:cs="Arial"/>
          <w:sz w:val="24"/>
          <w:szCs w:val="24"/>
        </w:rPr>
      </w:pPr>
      <w:r w:rsidRPr="00540842">
        <w:rPr>
          <w:rFonts w:ascii="Arial" w:hAnsi="Arial" w:cs="Arial"/>
          <w:sz w:val="24"/>
          <w:szCs w:val="24"/>
        </w:rPr>
        <w:t>le f</w:t>
      </w:r>
      <w:r w:rsidR="00FA5C3D" w:rsidRPr="00540842">
        <w:rPr>
          <w:rFonts w:ascii="Arial" w:hAnsi="Arial" w:cs="Arial"/>
          <w:sz w:val="24"/>
          <w:szCs w:val="24"/>
        </w:rPr>
        <w:t xml:space="preserve">orfait </w:t>
      </w:r>
      <w:r w:rsidRPr="00540842">
        <w:rPr>
          <w:rFonts w:ascii="Arial" w:hAnsi="Arial" w:cs="Arial"/>
          <w:sz w:val="24"/>
          <w:szCs w:val="24"/>
        </w:rPr>
        <w:t xml:space="preserve">pour </w:t>
      </w:r>
      <w:r w:rsidR="00FA5C3D" w:rsidRPr="00540842">
        <w:rPr>
          <w:rFonts w:ascii="Arial" w:hAnsi="Arial" w:cs="Arial"/>
          <w:b/>
          <w:sz w:val="24"/>
          <w:szCs w:val="24"/>
        </w:rPr>
        <w:t>frais d’obtention</w:t>
      </w:r>
      <w:r w:rsidRPr="00540842">
        <w:rPr>
          <w:rFonts w:ascii="Arial" w:hAnsi="Arial" w:cs="Arial"/>
          <w:sz w:val="24"/>
          <w:szCs w:val="24"/>
        </w:rPr>
        <w:t xml:space="preserve"> dont profitent tous les salariés devrait augmenter pour les rapprocher quelque peu de la situation des indépendants.</w:t>
      </w:r>
    </w:p>
    <w:p w:rsidR="00693373" w:rsidRPr="006B64C2" w:rsidRDefault="00693373" w:rsidP="00700B4B">
      <w:pPr>
        <w:jc w:val="both"/>
        <w:rPr>
          <w:rFonts w:ascii="Arial" w:hAnsi="Arial" w:cs="Arial"/>
          <w:sz w:val="28"/>
          <w:szCs w:val="24"/>
        </w:rPr>
      </w:pPr>
    </w:p>
    <w:p w:rsidR="00311CAC" w:rsidRPr="006B64C2" w:rsidRDefault="006B64C2" w:rsidP="00311CAC">
      <w:pPr>
        <w:jc w:val="both"/>
        <w:rPr>
          <w:rFonts w:ascii="Arial" w:hAnsi="Arial" w:cs="Arial"/>
          <w:sz w:val="24"/>
        </w:rPr>
      </w:pPr>
      <w:r>
        <w:rPr>
          <w:rFonts w:ascii="Arial" w:hAnsi="Arial" w:cs="Arial"/>
          <w:sz w:val="24"/>
        </w:rPr>
        <w:t>Pour la plupart, c</w:t>
      </w:r>
      <w:r w:rsidR="00311CAC" w:rsidRPr="006B64C2">
        <w:rPr>
          <w:rFonts w:ascii="Arial" w:hAnsi="Arial" w:cs="Arial"/>
          <w:sz w:val="24"/>
        </w:rPr>
        <w:t>es montants sont en effet fixés à leur niveau de 1991 ! Dans l’avis du CES du 27 novembre « Analyse des données fiscales au Luxembourg », on constate</w:t>
      </w:r>
      <w:r w:rsidR="00477578" w:rsidRPr="006B64C2">
        <w:rPr>
          <w:rFonts w:ascii="Arial" w:hAnsi="Arial" w:cs="Arial"/>
          <w:sz w:val="24"/>
        </w:rPr>
        <w:t xml:space="preserve"> l’énorme perte de valeur qui existe à ce niveau. </w:t>
      </w:r>
    </w:p>
    <w:p w:rsidR="00311CAC" w:rsidRPr="006B64C2" w:rsidRDefault="00311CAC" w:rsidP="00311CAC">
      <w:pPr>
        <w:jc w:val="both"/>
        <w:rPr>
          <w:rFonts w:ascii="Arial" w:hAnsi="Arial" w:cs="Arial"/>
          <w:sz w:val="24"/>
        </w:rPr>
      </w:pPr>
    </w:p>
    <w:p w:rsidR="00477578" w:rsidRPr="006B64C2" w:rsidRDefault="00477578" w:rsidP="00311CAC">
      <w:pPr>
        <w:jc w:val="both"/>
        <w:rPr>
          <w:rFonts w:ascii="Arial" w:hAnsi="Arial" w:cs="Arial"/>
          <w:sz w:val="24"/>
        </w:rPr>
      </w:pPr>
      <w:r w:rsidRPr="006B64C2">
        <w:rPr>
          <w:rFonts w:ascii="Arial" w:hAnsi="Arial" w:cs="Arial"/>
          <w:sz w:val="24"/>
        </w:rPr>
        <w:t>En adaptant simplement à l’inflation au 1</w:t>
      </w:r>
      <w:r w:rsidRPr="006B64C2">
        <w:rPr>
          <w:rFonts w:ascii="Arial" w:hAnsi="Arial" w:cs="Arial"/>
          <w:sz w:val="24"/>
          <w:vertAlign w:val="superscript"/>
        </w:rPr>
        <w:t>er</w:t>
      </w:r>
      <w:r w:rsidRPr="006B64C2">
        <w:rPr>
          <w:rFonts w:ascii="Arial" w:hAnsi="Arial" w:cs="Arial"/>
          <w:sz w:val="24"/>
        </w:rPr>
        <w:t xml:space="preserve"> janvier 2017, </w:t>
      </w:r>
    </w:p>
    <w:p w:rsidR="00311CAC" w:rsidRPr="006B64C2" w:rsidRDefault="00311CAC" w:rsidP="00311CAC">
      <w:pPr>
        <w:pStyle w:val="Paragraphedeliste"/>
        <w:numPr>
          <w:ilvl w:val="0"/>
          <w:numId w:val="4"/>
        </w:numPr>
        <w:jc w:val="both"/>
        <w:rPr>
          <w:rFonts w:ascii="Arial" w:hAnsi="Arial" w:cs="Arial"/>
          <w:sz w:val="24"/>
        </w:rPr>
      </w:pPr>
      <w:r w:rsidRPr="006B64C2">
        <w:rPr>
          <w:rFonts w:ascii="Arial" w:hAnsi="Arial" w:cs="Arial"/>
          <w:sz w:val="24"/>
        </w:rPr>
        <w:t>le forfait pour frais d’obtention</w:t>
      </w:r>
      <w:r w:rsidR="00143D5A" w:rsidRPr="006B64C2">
        <w:rPr>
          <w:rFonts w:ascii="Arial" w:hAnsi="Arial" w:cs="Arial"/>
          <w:sz w:val="24"/>
        </w:rPr>
        <w:t xml:space="preserve"> de 540 euros</w:t>
      </w:r>
      <w:r w:rsidRPr="006B64C2">
        <w:rPr>
          <w:rFonts w:ascii="Arial" w:hAnsi="Arial" w:cs="Arial"/>
          <w:sz w:val="24"/>
        </w:rPr>
        <w:t xml:space="preserve"> devrait s’élever à 930 euros ;</w:t>
      </w:r>
    </w:p>
    <w:p w:rsidR="00311CAC" w:rsidRPr="006B64C2" w:rsidRDefault="00311CAC" w:rsidP="00311CAC">
      <w:pPr>
        <w:pStyle w:val="Paragraphedeliste"/>
        <w:numPr>
          <w:ilvl w:val="0"/>
          <w:numId w:val="4"/>
        </w:numPr>
        <w:jc w:val="both"/>
        <w:rPr>
          <w:rFonts w:ascii="Arial" w:hAnsi="Arial" w:cs="Arial"/>
          <w:sz w:val="24"/>
        </w:rPr>
      </w:pPr>
      <w:r w:rsidRPr="006B64C2">
        <w:rPr>
          <w:rFonts w:ascii="Arial" w:hAnsi="Arial" w:cs="Arial"/>
          <w:sz w:val="24"/>
        </w:rPr>
        <w:t>le montant déductible pour frais de déplacement devrait s’élever à 170 euros</w:t>
      </w:r>
      <w:r w:rsidR="00143D5A" w:rsidRPr="006B64C2">
        <w:rPr>
          <w:rFonts w:ascii="Arial" w:hAnsi="Arial" w:cs="Arial"/>
          <w:sz w:val="24"/>
        </w:rPr>
        <w:t xml:space="preserve"> au lieu de 99 euros par km</w:t>
      </w:r>
      <w:r w:rsidRPr="006B64C2">
        <w:rPr>
          <w:rFonts w:ascii="Arial" w:hAnsi="Arial" w:cs="Arial"/>
          <w:sz w:val="24"/>
        </w:rPr>
        <w:t> ;</w:t>
      </w:r>
    </w:p>
    <w:p w:rsidR="00311CAC" w:rsidRPr="006B64C2" w:rsidRDefault="00311CAC" w:rsidP="00311CAC">
      <w:pPr>
        <w:ind w:left="705" w:hanging="705"/>
        <w:jc w:val="both"/>
        <w:rPr>
          <w:rFonts w:ascii="Arial" w:hAnsi="Arial" w:cs="Arial"/>
          <w:sz w:val="24"/>
        </w:rPr>
      </w:pPr>
      <w:r w:rsidRPr="006B64C2">
        <w:rPr>
          <w:rFonts w:ascii="Arial" w:hAnsi="Arial" w:cs="Arial"/>
          <w:sz w:val="24"/>
        </w:rPr>
        <w:t>-</w:t>
      </w:r>
      <w:r w:rsidRPr="006B64C2">
        <w:rPr>
          <w:rFonts w:ascii="Arial" w:hAnsi="Arial" w:cs="Arial"/>
          <w:sz w:val="24"/>
        </w:rPr>
        <w:tab/>
      </w:r>
      <w:r w:rsidRPr="006B64C2">
        <w:rPr>
          <w:rFonts w:ascii="Arial" w:hAnsi="Arial" w:cs="Arial"/>
          <w:sz w:val="24"/>
        </w:rPr>
        <w:tab/>
        <w:t xml:space="preserve">les plafonds pour déduction des intérêts débiteurs en cas de prêt hypothécaire passent de 750-1.500 à 1.000-2.000 euros. </w:t>
      </w:r>
      <w:r w:rsidR="00143D5A" w:rsidRPr="006B64C2">
        <w:rPr>
          <w:rFonts w:ascii="Arial" w:hAnsi="Arial" w:cs="Arial"/>
          <w:sz w:val="24"/>
        </w:rPr>
        <w:t>L</w:t>
      </w:r>
      <w:r w:rsidRPr="006B64C2">
        <w:rPr>
          <w:rFonts w:ascii="Arial" w:hAnsi="Arial" w:cs="Arial"/>
          <w:sz w:val="24"/>
        </w:rPr>
        <w:t xml:space="preserve">’adaptation à l’inflation </w:t>
      </w:r>
      <w:r w:rsidR="00143D5A" w:rsidRPr="006B64C2">
        <w:rPr>
          <w:rFonts w:ascii="Arial" w:hAnsi="Arial" w:cs="Arial"/>
          <w:sz w:val="24"/>
        </w:rPr>
        <w:t>les</w:t>
      </w:r>
      <w:r w:rsidRPr="006B64C2">
        <w:rPr>
          <w:rFonts w:ascii="Arial" w:hAnsi="Arial" w:cs="Arial"/>
          <w:sz w:val="24"/>
        </w:rPr>
        <w:t xml:space="preserve"> porterait ces plafonds à 1.290-2.580 euros ;</w:t>
      </w:r>
    </w:p>
    <w:p w:rsidR="00477578" w:rsidRPr="006B64C2" w:rsidRDefault="00311CAC" w:rsidP="00477578">
      <w:pPr>
        <w:ind w:left="705" w:hanging="705"/>
        <w:jc w:val="both"/>
        <w:rPr>
          <w:rFonts w:ascii="Arial" w:hAnsi="Arial" w:cs="Arial"/>
          <w:sz w:val="24"/>
        </w:rPr>
      </w:pPr>
      <w:r w:rsidRPr="006B64C2">
        <w:rPr>
          <w:rFonts w:ascii="Arial" w:hAnsi="Arial" w:cs="Arial"/>
        </w:rPr>
        <w:t>-</w:t>
      </w:r>
      <w:r w:rsidRPr="006B64C2">
        <w:rPr>
          <w:rFonts w:ascii="Arial" w:hAnsi="Arial" w:cs="Arial"/>
        </w:rPr>
        <w:tab/>
      </w:r>
      <w:r w:rsidR="00477578" w:rsidRPr="006B64C2">
        <w:rPr>
          <w:rFonts w:ascii="Arial" w:hAnsi="Arial" w:cs="Arial"/>
          <w:sz w:val="24"/>
          <w:szCs w:val="24"/>
        </w:rPr>
        <w:t xml:space="preserve">l’abattement pour frais de domesticité, pour frais d’aides et de soins en raison de l’état de dépendance et pour frais de garde d’enfants </w:t>
      </w:r>
      <w:r w:rsidRPr="006B64C2">
        <w:rPr>
          <w:rFonts w:ascii="Arial" w:hAnsi="Arial" w:cs="Arial"/>
          <w:sz w:val="24"/>
        </w:rPr>
        <w:t>s’élève actuellement à 3.600 euros</w:t>
      </w:r>
      <w:r w:rsidR="00143D5A" w:rsidRPr="006B64C2">
        <w:rPr>
          <w:rFonts w:ascii="Arial" w:hAnsi="Arial" w:cs="Arial"/>
          <w:sz w:val="24"/>
        </w:rPr>
        <w:t xml:space="preserve"> et doit</w:t>
      </w:r>
      <w:r w:rsidRPr="006B64C2">
        <w:rPr>
          <w:rFonts w:ascii="Arial" w:hAnsi="Arial" w:cs="Arial"/>
          <w:sz w:val="24"/>
        </w:rPr>
        <w:t xml:space="preserve"> passer à 5.190</w:t>
      </w:r>
      <w:r w:rsidR="00477578" w:rsidRPr="006B64C2">
        <w:rPr>
          <w:rFonts w:ascii="Arial" w:hAnsi="Arial" w:cs="Arial"/>
          <w:sz w:val="24"/>
        </w:rPr>
        <w:t xml:space="preserve"> euros ;</w:t>
      </w:r>
      <w:r w:rsidRPr="006B64C2">
        <w:rPr>
          <w:rFonts w:ascii="Arial" w:hAnsi="Arial" w:cs="Arial"/>
          <w:sz w:val="24"/>
        </w:rPr>
        <w:t xml:space="preserve"> </w:t>
      </w:r>
    </w:p>
    <w:p w:rsidR="00311CAC" w:rsidRPr="006B64C2" w:rsidRDefault="00477578" w:rsidP="00477578">
      <w:pPr>
        <w:ind w:left="705" w:hanging="705"/>
        <w:jc w:val="both"/>
        <w:rPr>
          <w:rFonts w:ascii="Arial" w:hAnsi="Arial" w:cs="Arial"/>
          <w:sz w:val="24"/>
        </w:rPr>
      </w:pPr>
      <w:r w:rsidRPr="006B64C2">
        <w:rPr>
          <w:rFonts w:ascii="Arial" w:hAnsi="Arial" w:cs="Arial"/>
          <w:sz w:val="24"/>
        </w:rPr>
        <w:t>-</w:t>
      </w:r>
      <w:r w:rsidRPr="006B64C2">
        <w:rPr>
          <w:rFonts w:ascii="Arial" w:hAnsi="Arial" w:cs="Arial"/>
          <w:sz w:val="24"/>
        </w:rPr>
        <w:tab/>
      </w:r>
      <w:r w:rsidR="00311CAC" w:rsidRPr="006B64C2">
        <w:rPr>
          <w:rFonts w:ascii="Arial" w:hAnsi="Arial" w:cs="Arial"/>
          <w:sz w:val="24"/>
        </w:rPr>
        <w:t>l’abattement extraprofessionnel devrait passer de 4.500 euros à 7.730 euros ;</w:t>
      </w:r>
    </w:p>
    <w:p w:rsidR="000B3289" w:rsidRPr="006B64C2" w:rsidRDefault="000B3289">
      <w:pPr>
        <w:jc w:val="both"/>
        <w:rPr>
          <w:rFonts w:ascii="Arial" w:hAnsi="Arial" w:cs="Arial"/>
          <w:sz w:val="24"/>
        </w:rPr>
      </w:pPr>
    </w:p>
    <w:p w:rsidR="00B30641" w:rsidRPr="00540842" w:rsidRDefault="00B30641">
      <w:pPr>
        <w:jc w:val="both"/>
        <w:rPr>
          <w:rFonts w:ascii="Arial" w:hAnsi="Arial" w:cs="Arial"/>
          <w:sz w:val="24"/>
        </w:rPr>
      </w:pPr>
      <w:r w:rsidRPr="00D03146">
        <w:rPr>
          <w:rFonts w:ascii="Arial" w:hAnsi="Arial" w:cs="Arial"/>
          <w:sz w:val="24"/>
        </w:rPr>
        <w:t>Pour de</w:t>
      </w:r>
      <w:r w:rsidR="001840C4">
        <w:rPr>
          <w:rFonts w:ascii="Arial" w:hAnsi="Arial" w:cs="Arial"/>
          <w:sz w:val="24"/>
        </w:rPr>
        <w:t>s</w:t>
      </w:r>
      <w:r w:rsidRPr="00D03146">
        <w:rPr>
          <w:rFonts w:ascii="Arial" w:hAnsi="Arial" w:cs="Arial"/>
          <w:sz w:val="24"/>
        </w:rPr>
        <w:t xml:space="preserve"> considérations sociétales, il importe d’ailleurs de ne pas uniquement adapter </w:t>
      </w:r>
      <w:r w:rsidRPr="00540842">
        <w:rPr>
          <w:rFonts w:ascii="Arial" w:hAnsi="Arial" w:cs="Arial"/>
          <w:b/>
          <w:sz w:val="24"/>
        </w:rPr>
        <w:t>l’abattement pour frais de domesticité, pour frais d’aides et de soins en raison de l’état de dépendance et pour frais de garde d’enfants à l’inflation, mais de l’augmenter de manière sensible à 6.000 euros</w:t>
      </w:r>
      <w:r w:rsidRPr="00540842">
        <w:rPr>
          <w:rFonts w:ascii="Arial" w:hAnsi="Arial" w:cs="Arial"/>
          <w:sz w:val="24"/>
        </w:rPr>
        <w:t>. Une telle mesure profiterait également aux ménages monoparentaux.</w:t>
      </w:r>
    </w:p>
    <w:p w:rsidR="00B30641" w:rsidRPr="00540842" w:rsidRDefault="00B30641">
      <w:pPr>
        <w:jc w:val="both"/>
        <w:rPr>
          <w:rFonts w:ascii="Arial" w:hAnsi="Arial" w:cs="Arial"/>
          <w:sz w:val="24"/>
        </w:rPr>
      </w:pPr>
    </w:p>
    <w:p w:rsidR="00477578" w:rsidRPr="00540842" w:rsidRDefault="00477578">
      <w:pPr>
        <w:jc w:val="both"/>
        <w:rPr>
          <w:rFonts w:ascii="Arial" w:hAnsi="Arial" w:cs="Arial"/>
          <w:sz w:val="24"/>
          <w:szCs w:val="24"/>
        </w:rPr>
      </w:pPr>
    </w:p>
    <w:p w:rsidR="00477578" w:rsidRPr="00540842" w:rsidRDefault="00477578">
      <w:pPr>
        <w:jc w:val="both"/>
        <w:rPr>
          <w:rFonts w:ascii="Arial" w:hAnsi="Arial" w:cs="Arial"/>
          <w:b/>
          <w:sz w:val="28"/>
          <w:szCs w:val="24"/>
        </w:rPr>
      </w:pPr>
      <w:r w:rsidRPr="00540842">
        <w:rPr>
          <w:rFonts w:ascii="Arial" w:hAnsi="Arial" w:cs="Arial"/>
          <w:b/>
          <w:sz w:val="28"/>
          <w:szCs w:val="24"/>
        </w:rPr>
        <w:t>Familles monoparentales</w:t>
      </w:r>
    </w:p>
    <w:p w:rsidR="00477578" w:rsidRPr="00540842" w:rsidRDefault="00477578">
      <w:pPr>
        <w:jc w:val="both"/>
        <w:rPr>
          <w:rFonts w:ascii="Arial" w:hAnsi="Arial" w:cs="Arial"/>
          <w:sz w:val="24"/>
          <w:szCs w:val="24"/>
        </w:rPr>
      </w:pP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Les familles monoparentales continuent à être défavorisées par rapport aux personnes mariées. Si la classe 1a est plus favorable pour les ménages à faible revenu, elle se rapproche rapidement de l’imposition du ménage célibataire et, à partir d’un revenu de 45.000 euros, il n’y a plus de différence par rapport au célibataire alors que les personnes mariées payent beaucoup moins d’impôts à ce niveau.</w:t>
      </w: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 </w:t>
      </w: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Il convient d’alléger la charge fiscale de la classe 1a (ce qui aurait toutefois comme conséquence de toucher également les veufs/veuves et les célibataires âgés de plus de 64 ans) en adaptant la formule de calcul de l’imposition de la classe 1a qui prévoit que pour un revenu inférieur à 45.000 euros, on retranche du revenu la moitié de la différence entre 45.000 euros et le revenu effectif pour trouver le revenu imposable. Pour un revenu effectif de 35.000 euros, on retranche donc (45.000 – 35.000) ÷ 2 = 5.000 euros, soit un revenu imposable de 30.000 euros.</w:t>
      </w:r>
    </w:p>
    <w:p w:rsidR="001840C4" w:rsidRDefault="001840C4" w:rsidP="001840C4">
      <w:pPr>
        <w:widowControl w:val="0"/>
        <w:autoSpaceDE w:val="0"/>
        <w:autoSpaceDN w:val="0"/>
        <w:adjustRightInd w:val="0"/>
        <w:jc w:val="both"/>
        <w:rPr>
          <w:rFonts w:ascii="Arial" w:hAnsi="Arial" w:cs="Arial"/>
          <w:sz w:val="24"/>
          <w:szCs w:val="24"/>
          <w:lang w:val="fr-FR"/>
        </w:rPr>
      </w:pP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Au-delà de 45.000 euros annuels, une famille monoparentale est autant imposée qu’un célibataire. Ce montant de 45.000 euros doit donc être sensiblement augmenté.</w:t>
      </w: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 </w:t>
      </w: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 xml:space="preserve">Par ailleurs, une </w:t>
      </w:r>
      <w:r w:rsidRPr="001840C4">
        <w:rPr>
          <w:rFonts w:ascii="Arial" w:hAnsi="Arial" w:cs="Arial"/>
          <w:b/>
          <w:bCs/>
          <w:sz w:val="24"/>
          <w:szCs w:val="24"/>
          <w:lang w:val="fr-FR"/>
        </w:rPr>
        <w:t>adaptation plus conséquente du crédit monoparental</w:t>
      </w:r>
      <w:r w:rsidRPr="001840C4">
        <w:rPr>
          <w:rFonts w:ascii="Arial" w:hAnsi="Arial" w:cs="Arial"/>
          <w:sz w:val="24"/>
          <w:szCs w:val="24"/>
          <w:lang w:val="fr-FR"/>
        </w:rPr>
        <w:t xml:space="preserve"> s’impose :</w:t>
      </w: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 </w:t>
      </w:r>
    </w:p>
    <w:p w:rsidR="001840C4" w:rsidRPr="001840C4" w:rsidRDefault="001840C4" w:rsidP="001840C4">
      <w:pPr>
        <w:widowControl w:val="0"/>
        <w:autoSpaceDE w:val="0"/>
        <w:autoSpaceDN w:val="0"/>
        <w:adjustRightInd w:val="0"/>
        <w:ind w:left="960" w:hanging="480"/>
        <w:jc w:val="both"/>
        <w:rPr>
          <w:rFonts w:cs="Calibri"/>
          <w:sz w:val="24"/>
          <w:szCs w:val="24"/>
          <w:lang w:val="fr-FR"/>
        </w:rPr>
      </w:pPr>
      <w:r w:rsidRPr="001840C4">
        <w:rPr>
          <w:rFonts w:ascii="Arial" w:hAnsi="Arial" w:cs="Arial"/>
          <w:sz w:val="24"/>
          <w:szCs w:val="24"/>
          <w:lang w:val="fr-FR"/>
        </w:rPr>
        <w:t>-</w:t>
      </w:r>
      <w:r w:rsidRPr="001840C4">
        <w:rPr>
          <w:rFonts w:ascii="Times New Roman" w:hAnsi="Times New Roman"/>
          <w:sz w:val="24"/>
          <w:szCs w:val="24"/>
          <w:lang w:val="fr-FR"/>
        </w:rPr>
        <w:t xml:space="preserve">       </w:t>
      </w:r>
      <w:r w:rsidRPr="001840C4">
        <w:rPr>
          <w:rFonts w:ascii="Arial" w:hAnsi="Arial" w:cs="Arial"/>
          <w:sz w:val="24"/>
          <w:szCs w:val="24"/>
          <w:lang w:val="fr-FR"/>
        </w:rPr>
        <w:t>le crédit d’impôt monoparental proposé par le gouvernement devrait doubler en présence de plusieurs enfants ;</w:t>
      </w:r>
    </w:p>
    <w:p w:rsidR="001840C4" w:rsidRPr="001840C4" w:rsidRDefault="001840C4" w:rsidP="001840C4">
      <w:pPr>
        <w:widowControl w:val="0"/>
        <w:autoSpaceDE w:val="0"/>
        <w:autoSpaceDN w:val="0"/>
        <w:adjustRightInd w:val="0"/>
        <w:ind w:left="960" w:hanging="480"/>
        <w:jc w:val="both"/>
        <w:rPr>
          <w:rFonts w:cs="Calibri"/>
          <w:sz w:val="24"/>
          <w:szCs w:val="24"/>
          <w:lang w:val="fr-FR"/>
        </w:rPr>
      </w:pPr>
      <w:r w:rsidRPr="001840C4">
        <w:rPr>
          <w:rFonts w:ascii="Arial" w:hAnsi="Arial" w:cs="Arial"/>
          <w:sz w:val="24"/>
          <w:szCs w:val="24"/>
          <w:lang w:val="fr-FR"/>
        </w:rPr>
        <w:t>-</w:t>
      </w:r>
      <w:r w:rsidRPr="001840C4">
        <w:rPr>
          <w:rFonts w:ascii="Times New Roman" w:hAnsi="Times New Roman"/>
          <w:sz w:val="24"/>
          <w:szCs w:val="24"/>
          <w:lang w:val="fr-FR"/>
        </w:rPr>
        <w:t xml:space="preserve">       </w:t>
      </w:r>
      <w:r w:rsidRPr="001840C4">
        <w:rPr>
          <w:rFonts w:ascii="Arial" w:hAnsi="Arial" w:cs="Arial"/>
          <w:sz w:val="24"/>
          <w:szCs w:val="24"/>
          <w:lang w:val="fr-FR"/>
        </w:rPr>
        <w:t>les rentes alimentaires doivent être prises en compte dans une moindre mesure qu’actuellement pour ne pas réduire trop fortement le crédit d’impôt ;</w:t>
      </w:r>
    </w:p>
    <w:p w:rsidR="001840C4" w:rsidRPr="001840C4" w:rsidRDefault="001840C4" w:rsidP="001840C4">
      <w:pPr>
        <w:widowControl w:val="0"/>
        <w:autoSpaceDE w:val="0"/>
        <w:autoSpaceDN w:val="0"/>
        <w:adjustRightInd w:val="0"/>
        <w:jc w:val="both"/>
        <w:rPr>
          <w:rFonts w:cs="Calibri"/>
          <w:sz w:val="24"/>
          <w:szCs w:val="24"/>
          <w:lang w:val="fr-FR"/>
        </w:rPr>
      </w:pPr>
      <w:r w:rsidRPr="001840C4">
        <w:rPr>
          <w:rFonts w:ascii="Arial" w:hAnsi="Arial" w:cs="Arial"/>
          <w:sz w:val="24"/>
          <w:szCs w:val="24"/>
          <w:lang w:val="fr-FR"/>
        </w:rPr>
        <w:t> </w:t>
      </w:r>
    </w:p>
    <w:p w:rsidR="00477578" w:rsidRPr="001840C4" w:rsidRDefault="001840C4" w:rsidP="001840C4">
      <w:pPr>
        <w:jc w:val="both"/>
        <w:rPr>
          <w:rFonts w:ascii="Arial" w:hAnsi="Arial" w:cs="Arial"/>
          <w:sz w:val="24"/>
          <w:szCs w:val="24"/>
          <w:lang w:val="fr-FR"/>
        </w:rPr>
      </w:pPr>
      <w:r w:rsidRPr="001840C4">
        <w:rPr>
          <w:rFonts w:ascii="Arial" w:hAnsi="Arial" w:cs="Arial"/>
          <w:sz w:val="24"/>
          <w:szCs w:val="24"/>
          <w:lang w:val="fr-FR"/>
        </w:rPr>
        <w:t>Actuellement, si le parent élevant seul ses enfants reçoit, pour l’ensemble de ses enfants, plus de 3.420 euros de pension alimentaire par année, soit 285 euros par mois, il n’a pas droit au crédit d’impôt. Ce crédit est en effet dégressif à partir d’une pension alimentaire de 160 euros par mois pour tomber à 0 à 285 euros.</w:t>
      </w:r>
    </w:p>
    <w:p w:rsidR="001840C4" w:rsidRPr="00540842" w:rsidRDefault="001840C4" w:rsidP="001840C4">
      <w:pPr>
        <w:jc w:val="both"/>
        <w:rPr>
          <w:rFonts w:ascii="Arial" w:hAnsi="Arial" w:cs="Arial"/>
          <w:sz w:val="24"/>
          <w:szCs w:val="24"/>
        </w:rPr>
      </w:pPr>
    </w:p>
    <w:p w:rsidR="00477578" w:rsidRPr="00540842" w:rsidRDefault="00477578">
      <w:pPr>
        <w:jc w:val="both"/>
        <w:rPr>
          <w:rFonts w:ascii="Arial" w:hAnsi="Arial" w:cs="Arial"/>
          <w:b/>
          <w:sz w:val="28"/>
          <w:szCs w:val="24"/>
        </w:rPr>
      </w:pPr>
      <w:r w:rsidRPr="00540842">
        <w:rPr>
          <w:rFonts w:ascii="Arial" w:hAnsi="Arial" w:cs="Arial"/>
          <w:b/>
          <w:sz w:val="28"/>
          <w:szCs w:val="24"/>
        </w:rPr>
        <w:t>Eléments de revenu à taxer plus fortement</w:t>
      </w:r>
    </w:p>
    <w:p w:rsidR="00477578" w:rsidRPr="00540842" w:rsidRDefault="00477578">
      <w:pPr>
        <w:jc w:val="both"/>
        <w:rPr>
          <w:rFonts w:ascii="Arial" w:hAnsi="Arial" w:cs="Arial"/>
          <w:sz w:val="24"/>
          <w:szCs w:val="24"/>
        </w:rPr>
      </w:pPr>
    </w:p>
    <w:p w:rsidR="00477578" w:rsidRPr="000C5219" w:rsidRDefault="000C5219">
      <w:pPr>
        <w:jc w:val="both"/>
        <w:rPr>
          <w:rFonts w:ascii="Arial" w:hAnsi="Arial" w:cs="Arial"/>
          <w:sz w:val="24"/>
          <w:szCs w:val="24"/>
        </w:rPr>
      </w:pPr>
      <w:r>
        <w:rPr>
          <w:rFonts w:ascii="Arial" w:hAnsi="Arial" w:cs="Arial"/>
          <w:sz w:val="24"/>
          <w:szCs w:val="24"/>
        </w:rPr>
        <w:t>L’OGBL et la CGFP</w:t>
      </w:r>
      <w:r w:rsidR="00477578" w:rsidRPr="000C5219">
        <w:rPr>
          <w:rFonts w:ascii="Arial" w:hAnsi="Arial" w:cs="Arial"/>
          <w:sz w:val="24"/>
          <w:szCs w:val="24"/>
        </w:rPr>
        <w:t xml:space="preserve"> constatent qu’il n’est pour l’instant pas tenu compte de leurs revendications de plus d’équité fiscale entre différents types de revenu. A ce niveau, elles formulent les revendications suivantes :</w:t>
      </w:r>
    </w:p>
    <w:p w:rsidR="00477578" w:rsidRPr="005F5470" w:rsidRDefault="00477578">
      <w:pPr>
        <w:jc w:val="both"/>
        <w:rPr>
          <w:rFonts w:ascii="Arial" w:hAnsi="Arial" w:cs="Arial"/>
          <w:sz w:val="24"/>
          <w:szCs w:val="24"/>
        </w:rPr>
      </w:pPr>
    </w:p>
    <w:p w:rsidR="00477578" w:rsidRPr="006B64C2" w:rsidRDefault="003274BD" w:rsidP="003274BD">
      <w:pPr>
        <w:pStyle w:val="Paragraphedeliste"/>
        <w:numPr>
          <w:ilvl w:val="0"/>
          <w:numId w:val="4"/>
        </w:numPr>
        <w:jc w:val="both"/>
        <w:rPr>
          <w:rFonts w:ascii="Arial" w:hAnsi="Arial" w:cs="Arial"/>
          <w:sz w:val="24"/>
          <w:szCs w:val="24"/>
        </w:rPr>
      </w:pPr>
      <w:r w:rsidRPr="00540842">
        <w:rPr>
          <w:rFonts w:ascii="Arial" w:hAnsi="Arial" w:cs="Arial"/>
          <w:sz w:val="24"/>
          <w:szCs w:val="24"/>
        </w:rPr>
        <w:t xml:space="preserve">elles se prononcent </w:t>
      </w:r>
      <w:r w:rsidRPr="00540842">
        <w:rPr>
          <w:rFonts w:ascii="Arial" w:hAnsi="Arial" w:cs="Arial"/>
          <w:b/>
          <w:sz w:val="24"/>
          <w:szCs w:val="24"/>
        </w:rPr>
        <w:t xml:space="preserve">contre l’abaissement </w:t>
      </w:r>
      <w:r w:rsidR="006B64C2">
        <w:rPr>
          <w:rFonts w:ascii="Arial" w:hAnsi="Arial" w:cs="Arial"/>
          <w:b/>
          <w:sz w:val="24"/>
          <w:szCs w:val="24"/>
        </w:rPr>
        <w:t xml:space="preserve">temporaire </w:t>
      </w:r>
      <w:r w:rsidRPr="006B64C2">
        <w:rPr>
          <w:rFonts w:ascii="Arial" w:hAnsi="Arial" w:cs="Arial"/>
          <w:b/>
          <w:sz w:val="24"/>
          <w:szCs w:val="24"/>
        </w:rPr>
        <w:t>au quart-taux de l’imposition des plus-values immobilières</w:t>
      </w:r>
      <w:r w:rsidRPr="006B64C2">
        <w:rPr>
          <w:rFonts w:ascii="Arial" w:hAnsi="Arial" w:cs="Arial"/>
          <w:sz w:val="24"/>
          <w:szCs w:val="24"/>
        </w:rPr>
        <w:t xml:space="preserve"> qui ne constitue qu’un effet d’aubaine pour les propriétaires de terrain</w:t>
      </w:r>
      <w:r w:rsidR="008632DF" w:rsidRPr="006B64C2">
        <w:rPr>
          <w:rFonts w:ascii="Arial" w:hAnsi="Arial" w:cs="Arial"/>
          <w:sz w:val="24"/>
          <w:szCs w:val="24"/>
        </w:rPr>
        <w:t xml:space="preserve">. Ne faudrait-il pas plutôt annoncer une augmentation du </w:t>
      </w:r>
      <w:r w:rsidR="006B64C2">
        <w:rPr>
          <w:rFonts w:ascii="Arial" w:hAnsi="Arial" w:cs="Arial"/>
          <w:sz w:val="24"/>
          <w:szCs w:val="24"/>
        </w:rPr>
        <w:t>demi-</w:t>
      </w:r>
      <w:r w:rsidR="008632DF" w:rsidRPr="006B64C2">
        <w:rPr>
          <w:rFonts w:ascii="Arial" w:hAnsi="Arial" w:cs="Arial"/>
          <w:sz w:val="24"/>
          <w:szCs w:val="24"/>
        </w:rPr>
        <w:t>taux</w:t>
      </w:r>
      <w:r w:rsidR="006B64C2">
        <w:rPr>
          <w:rFonts w:ascii="Arial" w:hAnsi="Arial" w:cs="Arial"/>
          <w:sz w:val="24"/>
          <w:szCs w:val="24"/>
        </w:rPr>
        <w:t xml:space="preserve"> applicable actuellement</w:t>
      </w:r>
      <w:r w:rsidR="008632DF" w:rsidRPr="006B64C2">
        <w:rPr>
          <w:rFonts w:ascii="Arial" w:hAnsi="Arial" w:cs="Arial"/>
          <w:sz w:val="24"/>
          <w:szCs w:val="24"/>
        </w:rPr>
        <w:t xml:space="preserve"> à partir d’un certain moment</w:t>
      </w:r>
      <w:r w:rsidR="006B64C2">
        <w:rPr>
          <w:rFonts w:ascii="Arial" w:hAnsi="Arial" w:cs="Arial"/>
          <w:sz w:val="24"/>
          <w:szCs w:val="24"/>
        </w:rPr>
        <w:t xml:space="preserve"> pour inciter les propriétaire</w:t>
      </w:r>
      <w:r w:rsidR="00F85A0A">
        <w:rPr>
          <w:rFonts w:ascii="Arial" w:hAnsi="Arial" w:cs="Arial"/>
          <w:sz w:val="24"/>
          <w:szCs w:val="24"/>
        </w:rPr>
        <w:t>s</w:t>
      </w:r>
      <w:r w:rsidR="006B64C2">
        <w:rPr>
          <w:rFonts w:ascii="Arial" w:hAnsi="Arial" w:cs="Arial"/>
          <w:sz w:val="24"/>
          <w:szCs w:val="24"/>
        </w:rPr>
        <w:t xml:space="preserve"> à vendre plus de terrains avant l’intervention d’une telle augmentation</w:t>
      </w:r>
      <w:r w:rsidR="008632DF" w:rsidRPr="006B64C2">
        <w:rPr>
          <w:rFonts w:ascii="Arial" w:hAnsi="Arial" w:cs="Arial"/>
          <w:sz w:val="24"/>
          <w:szCs w:val="24"/>
        </w:rPr>
        <w:t> ;</w:t>
      </w:r>
    </w:p>
    <w:p w:rsidR="008632DF" w:rsidRPr="00540842" w:rsidRDefault="008632DF" w:rsidP="003274BD">
      <w:pPr>
        <w:pStyle w:val="Paragraphedeliste"/>
        <w:numPr>
          <w:ilvl w:val="0"/>
          <w:numId w:val="4"/>
        </w:numPr>
        <w:jc w:val="both"/>
        <w:rPr>
          <w:rFonts w:ascii="Arial" w:hAnsi="Arial" w:cs="Arial"/>
          <w:sz w:val="24"/>
          <w:szCs w:val="24"/>
        </w:rPr>
      </w:pPr>
      <w:r w:rsidRPr="00D03146">
        <w:rPr>
          <w:rFonts w:ascii="Arial" w:hAnsi="Arial" w:cs="Arial"/>
          <w:sz w:val="24"/>
          <w:szCs w:val="24"/>
        </w:rPr>
        <w:t xml:space="preserve">les stock-options constituent un avantage fiscal injustifié qui favorise les salariés ayant des hauts revenus. Les </w:t>
      </w:r>
      <w:r w:rsidRPr="00540842">
        <w:rPr>
          <w:rFonts w:ascii="Arial" w:hAnsi="Arial" w:cs="Arial"/>
          <w:b/>
          <w:sz w:val="24"/>
          <w:szCs w:val="24"/>
        </w:rPr>
        <w:t>stock-options doivent être imposés à 100%</w:t>
      </w:r>
      <w:r w:rsidRPr="00540842">
        <w:rPr>
          <w:rFonts w:ascii="Arial" w:hAnsi="Arial" w:cs="Arial"/>
          <w:sz w:val="24"/>
          <w:szCs w:val="24"/>
        </w:rPr>
        <w:t xml:space="preserve"> de leur valeur sous-jacente ;</w:t>
      </w:r>
    </w:p>
    <w:p w:rsidR="008632DF" w:rsidRPr="00540842" w:rsidRDefault="008632DF" w:rsidP="003274BD">
      <w:pPr>
        <w:pStyle w:val="Paragraphedeliste"/>
        <w:numPr>
          <w:ilvl w:val="0"/>
          <w:numId w:val="4"/>
        </w:numPr>
        <w:jc w:val="both"/>
        <w:rPr>
          <w:rFonts w:ascii="Arial" w:hAnsi="Arial" w:cs="Arial"/>
          <w:sz w:val="24"/>
          <w:szCs w:val="24"/>
        </w:rPr>
      </w:pPr>
      <w:r w:rsidRPr="00540842">
        <w:rPr>
          <w:rFonts w:ascii="Arial" w:hAnsi="Arial" w:cs="Arial"/>
          <w:sz w:val="24"/>
          <w:szCs w:val="24"/>
        </w:rPr>
        <w:t xml:space="preserve">les dividendes doivent être imposés plus lourdement. Pour arriver à un taux d’imposition global de 42% (taux marginal proposé par le Gouvernement) tenant compte du nouveau taux de 18% proposé pour l’IRC, </w:t>
      </w:r>
      <w:r w:rsidRPr="00540842">
        <w:rPr>
          <w:rFonts w:ascii="Arial" w:hAnsi="Arial" w:cs="Arial"/>
          <w:b/>
          <w:sz w:val="24"/>
          <w:szCs w:val="24"/>
        </w:rPr>
        <w:t>les dividendes ne devraient plus être exonérés à 50% dans une logique de non-double imposition</w:t>
      </w:r>
      <w:r w:rsidR="00673BB7">
        <w:rPr>
          <w:rFonts w:ascii="Arial" w:hAnsi="Arial" w:cs="Arial"/>
          <w:b/>
          <w:sz w:val="24"/>
          <w:szCs w:val="24"/>
        </w:rPr>
        <w:t xml:space="preserve"> économique</w:t>
      </w:r>
      <w:r w:rsidRPr="00540842">
        <w:rPr>
          <w:rFonts w:ascii="Arial" w:hAnsi="Arial" w:cs="Arial"/>
          <w:b/>
          <w:sz w:val="24"/>
          <w:szCs w:val="24"/>
        </w:rPr>
        <w:t>, mais seulement à 30%</w:t>
      </w:r>
      <w:r w:rsidR="00C764FF" w:rsidRPr="00540842">
        <w:rPr>
          <w:rFonts w:ascii="Arial" w:hAnsi="Arial" w:cs="Arial"/>
          <w:sz w:val="24"/>
          <w:szCs w:val="24"/>
        </w:rPr>
        <w:t xml:space="preserve"> </w:t>
      </w:r>
      <w:r w:rsidR="00C764FF" w:rsidRPr="00540842">
        <w:rPr>
          <w:rFonts w:ascii="Arial" w:hAnsi="Arial" w:cs="Arial"/>
          <w:b/>
          <w:sz w:val="24"/>
          <w:szCs w:val="24"/>
        </w:rPr>
        <w:t>au plus</w:t>
      </w:r>
      <w:r w:rsidRPr="00540842">
        <w:rPr>
          <w:rFonts w:ascii="Arial" w:hAnsi="Arial" w:cs="Arial"/>
          <w:sz w:val="24"/>
          <w:szCs w:val="24"/>
        </w:rPr>
        <w:t> ;</w:t>
      </w:r>
    </w:p>
    <w:p w:rsidR="008632DF" w:rsidRPr="00540842" w:rsidRDefault="000C5219" w:rsidP="003274BD">
      <w:pPr>
        <w:pStyle w:val="Paragraphedeliste"/>
        <w:numPr>
          <w:ilvl w:val="0"/>
          <w:numId w:val="4"/>
        </w:numPr>
        <w:jc w:val="both"/>
        <w:rPr>
          <w:rFonts w:ascii="Arial" w:hAnsi="Arial" w:cs="Arial"/>
          <w:sz w:val="24"/>
          <w:szCs w:val="24"/>
        </w:rPr>
      </w:pPr>
      <w:r>
        <w:rPr>
          <w:rFonts w:ascii="Arial" w:hAnsi="Arial" w:cs="Arial"/>
          <w:sz w:val="24"/>
          <w:szCs w:val="24"/>
        </w:rPr>
        <w:t>l’OGBL et la CGFP</w:t>
      </w:r>
      <w:r w:rsidR="008632DF" w:rsidRPr="000C5219">
        <w:rPr>
          <w:rFonts w:ascii="Arial" w:hAnsi="Arial" w:cs="Arial"/>
          <w:sz w:val="24"/>
          <w:szCs w:val="24"/>
        </w:rPr>
        <w:t xml:space="preserve"> soutiennent de manière générale l’imposition plus lourde des revenus des capitaux ; or l’unique mesure proposée par le Gouvernement à ce niveau risque de toucher surtout les petits épargnants. Si on double la </w:t>
      </w:r>
      <w:r w:rsidR="008632DF" w:rsidRPr="000C5219">
        <w:rPr>
          <w:rFonts w:ascii="Arial" w:hAnsi="Arial" w:cs="Arial"/>
          <w:b/>
          <w:sz w:val="24"/>
          <w:szCs w:val="24"/>
        </w:rPr>
        <w:t>retenue à la source sur les intérêts</w:t>
      </w:r>
      <w:r w:rsidR="008632DF" w:rsidRPr="000C5219">
        <w:rPr>
          <w:rFonts w:ascii="Arial" w:hAnsi="Arial" w:cs="Arial"/>
          <w:sz w:val="24"/>
          <w:szCs w:val="24"/>
        </w:rPr>
        <w:t xml:space="preserve">, il convient d’augmenter également le montant exonéré d’actuellement 250 euros. CE montant est atteint avec une épargne de 25.000 euros produisant 1% d’intérêts. </w:t>
      </w:r>
      <w:r>
        <w:rPr>
          <w:rFonts w:ascii="Arial" w:hAnsi="Arial" w:cs="Arial"/>
          <w:b/>
          <w:sz w:val="24"/>
          <w:szCs w:val="24"/>
        </w:rPr>
        <w:t>L’OGBL et la CGFP</w:t>
      </w:r>
      <w:r w:rsidR="008632DF" w:rsidRPr="000C5219">
        <w:rPr>
          <w:rFonts w:ascii="Arial" w:hAnsi="Arial" w:cs="Arial"/>
          <w:b/>
          <w:sz w:val="24"/>
          <w:szCs w:val="24"/>
        </w:rPr>
        <w:t xml:space="preserve"> demandent d’augmenter le montant exonéré à 1.000 euros tout en abolissant le revenu exonéré des autres revenus des capitaux </w:t>
      </w:r>
      <w:r w:rsidR="00795438" w:rsidRPr="000C5219">
        <w:rPr>
          <w:rFonts w:ascii="Arial" w:hAnsi="Arial" w:cs="Arial"/>
          <w:b/>
          <w:sz w:val="24"/>
          <w:szCs w:val="24"/>
        </w:rPr>
        <w:t>d’actuellement 1.500 euros dont bénéficient surtout les hauts revenus</w:t>
      </w:r>
      <w:r w:rsidR="00795438" w:rsidRPr="00540842">
        <w:rPr>
          <w:rFonts w:ascii="Arial" w:hAnsi="Arial" w:cs="Arial"/>
          <w:sz w:val="24"/>
          <w:szCs w:val="24"/>
        </w:rPr>
        <w:t>.</w:t>
      </w:r>
    </w:p>
    <w:p w:rsidR="00477578" w:rsidRPr="00540842" w:rsidRDefault="00477578">
      <w:pPr>
        <w:jc w:val="both"/>
        <w:rPr>
          <w:rFonts w:ascii="Arial" w:hAnsi="Arial" w:cs="Arial"/>
          <w:sz w:val="24"/>
          <w:szCs w:val="24"/>
        </w:rPr>
      </w:pPr>
    </w:p>
    <w:sectPr w:rsidR="00477578" w:rsidRPr="00540842">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A2E" w:rsidRDefault="007B3A2E" w:rsidP="00DD29D4">
      <w:r>
        <w:separator/>
      </w:r>
    </w:p>
  </w:endnote>
  <w:endnote w:type="continuationSeparator" w:id="0">
    <w:p w:rsidR="007B3A2E" w:rsidRDefault="007B3A2E" w:rsidP="00DD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A2E" w:rsidRDefault="007B3A2E" w:rsidP="00DD29D4">
      <w:r>
        <w:separator/>
      </w:r>
    </w:p>
  </w:footnote>
  <w:footnote w:type="continuationSeparator" w:id="0">
    <w:p w:rsidR="007B3A2E" w:rsidRDefault="007B3A2E" w:rsidP="00DD29D4">
      <w:r>
        <w:continuationSeparator/>
      </w:r>
    </w:p>
  </w:footnote>
  <w:footnote w:id="1">
    <w:p w:rsidR="00673BB7" w:rsidRPr="00673BB7" w:rsidRDefault="00673BB7">
      <w:pPr>
        <w:pStyle w:val="Notedebasdepage"/>
        <w:rPr>
          <w:lang w:val="fr-FR"/>
        </w:rPr>
      </w:pPr>
      <w:r>
        <w:rPr>
          <w:rStyle w:val="Appelnotedebasdep"/>
        </w:rPr>
        <w:footnoteRef/>
      </w:r>
      <w:r>
        <w:t xml:space="preserve"> </w:t>
      </w:r>
      <w:r>
        <w:rPr>
          <w:lang w:val="fr-FR"/>
        </w:rPr>
        <w:t>Tout en sachant qu’une imposition forfaitaire de 14% est prévue en la matière.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0357278"/>
      <w:docPartObj>
        <w:docPartGallery w:val="Page Numbers (Top of Page)"/>
        <w:docPartUnique/>
      </w:docPartObj>
    </w:sdtPr>
    <w:sdtEndPr>
      <w:rPr>
        <w:noProof/>
      </w:rPr>
    </w:sdtEndPr>
    <w:sdtContent>
      <w:p w:rsidR="0044332E" w:rsidRDefault="0044332E">
        <w:pPr>
          <w:pStyle w:val="En-tte"/>
          <w:jc w:val="center"/>
        </w:pPr>
        <w:r>
          <w:fldChar w:fldCharType="begin"/>
        </w:r>
        <w:r>
          <w:instrText xml:space="preserve"> PAGE   \* MERGEFORMAT </w:instrText>
        </w:r>
        <w:r>
          <w:fldChar w:fldCharType="separate"/>
        </w:r>
        <w:r w:rsidR="007B3A2E">
          <w:rPr>
            <w:noProof/>
          </w:rPr>
          <w:t>1</w:t>
        </w:r>
        <w:r>
          <w:rPr>
            <w:noProof/>
          </w:rPr>
          <w:fldChar w:fldCharType="end"/>
        </w:r>
      </w:p>
    </w:sdtContent>
  </w:sdt>
  <w:p w:rsidR="0044332E" w:rsidRDefault="0044332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17355"/>
    <w:multiLevelType w:val="hybridMultilevel"/>
    <w:tmpl w:val="0E089B8A"/>
    <w:lvl w:ilvl="0" w:tplc="FF005B4C">
      <w:start w:val="4"/>
      <w:numFmt w:val="bullet"/>
      <w:lvlText w:val="-"/>
      <w:lvlJc w:val="left"/>
      <w:pPr>
        <w:ind w:left="720" w:hanging="360"/>
      </w:pPr>
      <w:rPr>
        <w:rFonts w:ascii="Arial" w:eastAsiaTheme="minorHAnsi" w:hAnsi="Arial" w:cs="Aria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1" w15:restartNumberingAfterBreak="0">
    <w:nsid w:val="11EA7DB8"/>
    <w:multiLevelType w:val="hybridMultilevel"/>
    <w:tmpl w:val="B5DE85B6"/>
    <w:lvl w:ilvl="0" w:tplc="89DE9716">
      <w:numFmt w:val="bullet"/>
      <w:lvlText w:val="-"/>
      <w:lvlJc w:val="left"/>
      <w:pPr>
        <w:ind w:left="1060" w:hanging="70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1F43A6"/>
    <w:multiLevelType w:val="hybridMultilevel"/>
    <w:tmpl w:val="74DE0CA2"/>
    <w:lvl w:ilvl="0" w:tplc="136EA438">
      <w:start w:val="2"/>
      <w:numFmt w:val="bullet"/>
      <w:lvlText w:val="-"/>
      <w:lvlJc w:val="left"/>
      <w:pPr>
        <w:ind w:left="720" w:hanging="360"/>
      </w:pPr>
      <w:rPr>
        <w:rFonts w:ascii="Arial" w:eastAsiaTheme="minorHAnsi" w:hAnsi="Arial" w:cs="Aria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3" w15:restartNumberingAfterBreak="0">
    <w:nsid w:val="6BFC6003"/>
    <w:multiLevelType w:val="hybridMultilevel"/>
    <w:tmpl w:val="14F41B20"/>
    <w:lvl w:ilvl="0" w:tplc="4B2C35B6">
      <w:start w:val="2"/>
      <w:numFmt w:val="bullet"/>
      <w:lvlText w:val="-"/>
      <w:lvlJc w:val="left"/>
      <w:pPr>
        <w:ind w:left="720" w:hanging="360"/>
      </w:pPr>
      <w:rPr>
        <w:rFonts w:ascii="Arial" w:eastAsiaTheme="minorHAnsi" w:hAnsi="Arial" w:cs="Aria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abstractNum w:abstractNumId="4" w15:restartNumberingAfterBreak="0">
    <w:nsid w:val="777F1B0F"/>
    <w:multiLevelType w:val="hybridMultilevel"/>
    <w:tmpl w:val="BFB86648"/>
    <w:lvl w:ilvl="0" w:tplc="064CD688">
      <w:start w:val="2"/>
      <w:numFmt w:val="bullet"/>
      <w:lvlText w:val="-"/>
      <w:lvlJc w:val="left"/>
      <w:pPr>
        <w:ind w:left="720" w:hanging="360"/>
      </w:pPr>
      <w:rPr>
        <w:rFonts w:ascii="Arial" w:eastAsiaTheme="minorHAnsi" w:hAnsi="Arial" w:cs="Arial" w:hint="default"/>
      </w:rPr>
    </w:lvl>
    <w:lvl w:ilvl="1" w:tplc="140C0003" w:tentative="1">
      <w:start w:val="1"/>
      <w:numFmt w:val="bullet"/>
      <w:lvlText w:val="o"/>
      <w:lvlJc w:val="left"/>
      <w:pPr>
        <w:ind w:left="1440" w:hanging="360"/>
      </w:pPr>
      <w:rPr>
        <w:rFonts w:ascii="Courier New" w:hAnsi="Courier New" w:cs="Courier New" w:hint="default"/>
      </w:rPr>
    </w:lvl>
    <w:lvl w:ilvl="2" w:tplc="140C0005" w:tentative="1">
      <w:start w:val="1"/>
      <w:numFmt w:val="bullet"/>
      <w:lvlText w:val=""/>
      <w:lvlJc w:val="left"/>
      <w:pPr>
        <w:ind w:left="2160" w:hanging="360"/>
      </w:pPr>
      <w:rPr>
        <w:rFonts w:ascii="Wingdings" w:hAnsi="Wingdings" w:hint="default"/>
      </w:rPr>
    </w:lvl>
    <w:lvl w:ilvl="3" w:tplc="140C0001" w:tentative="1">
      <w:start w:val="1"/>
      <w:numFmt w:val="bullet"/>
      <w:lvlText w:val=""/>
      <w:lvlJc w:val="left"/>
      <w:pPr>
        <w:ind w:left="2880" w:hanging="360"/>
      </w:pPr>
      <w:rPr>
        <w:rFonts w:ascii="Symbol" w:hAnsi="Symbol" w:hint="default"/>
      </w:rPr>
    </w:lvl>
    <w:lvl w:ilvl="4" w:tplc="140C0003" w:tentative="1">
      <w:start w:val="1"/>
      <w:numFmt w:val="bullet"/>
      <w:lvlText w:val="o"/>
      <w:lvlJc w:val="left"/>
      <w:pPr>
        <w:ind w:left="3600" w:hanging="360"/>
      </w:pPr>
      <w:rPr>
        <w:rFonts w:ascii="Courier New" w:hAnsi="Courier New" w:cs="Courier New" w:hint="default"/>
      </w:rPr>
    </w:lvl>
    <w:lvl w:ilvl="5" w:tplc="140C0005" w:tentative="1">
      <w:start w:val="1"/>
      <w:numFmt w:val="bullet"/>
      <w:lvlText w:val=""/>
      <w:lvlJc w:val="left"/>
      <w:pPr>
        <w:ind w:left="4320" w:hanging="360"/>
      </w:pPr>
      <w:rPr>
        <w:rFonts w:ascii="Wingdings" w:hAnsi="Wingdings" w:hint="default"/>
      </w:rPr>
    </w:lvl>
    <w:lvl w:ilvl="6" w:tplc="140C0001" w:tentative="1">
      <w:start w:val="1"/>
      <w:numFmt w:val="bullet"/>
      <w:lvlText w:val=""/>
      <w:lvlJc w:val="left"/>
      <w:pPr>
        <w:ind w:left="5040" w:hanging="360"/>
      </w:pPr>
      <w:rPr>
        <w:rFonts w:ascii="Symbol" w:hAnsi="Symbol" w:hint="default"/>
      </w:rPr>
    </w:lvl>
    <w:lvl w:ilvl="7" w:tplc="140C0003" w:tentative="1">
      <w:start w:val="1"/>
      <w:numFmt w:val="bullet"/>
      <w:lvlText w:val="o"/>
      <w:lvlJc w:val="left"/>
      <w:pPr>
        <w:ind w:left="5760" w:hanging="360"/>
      </w:pPr>
      <w:rPr>
        <w:rFonts w:ascii="Courier New" w:hAnsi="Courier New" w:cs="Courier New" w:hint="default"/>
      </w:rPr>
    </w:lvl>
    <w:lvl w:ilvl="8" w:tplc="140C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B4B"/>
    <w:rsid w:val="00086E39"/>
    <w:rsid w:val="000B3289"/>
    <w:rsid w:val="000C5219"/>
    <w:rsid w:val="00102C7C"/>
    <w:rsid w:val="00143D5A"/>
    <w:rsid w:val="001813D9"/>
    <w:rsid w:val="001840C4"/>
    <w:rsid w:val="001D25CB"/>
    <w:rsid w:val="001F1B87"/>
    <w:rsid w:val="00276471"/>
    <w:rsid w:val="00311CAC"/>
    <w:rsid w:val="003274BD"/>
    <w:rsid w:val="00374F53"/>
    <w:rsid w:val="003E4CD9"/>
    <w:rsid w:val="004074B9"/>
    <w:rsid w:val="0044332E"/>
    <w:rsid w:val="00477578"/>
    <w:rsid w:val="004E43AD"/>
    <w:rsid w:val="005312D4"/>
    <w:rsid w:val="00540842"/>
    <w:rsid w:val="00590C1C"/>
    <w:rsid w:val="005F5470"/>
    <w:rsid w:val="0060232D"/>
    <w:rsid w:val="00663BA0"/>
    <w:rsid w:val="00673BB7"/>
    <w:rsid w:val="00693373"/>
    <w:rsid w:val="006B119B"/>
    <w:rsid w:val="006B64C2"/>
    <w:rsid w:val="00700B4B"/>
    <w:rsid w:val="00741AAE"/>
    <w:rsid w:val="007612AA"/>
    <w:rsid w:val="0077106B"/>
    <w:rsid w:val="00795438"/>
    <w:rsid w:val="007B0852"/>
    <w:rsid w:val="007B3A2E"/>
    <w:rsid w:val="00811703"/>
    <w:rsid w:val="00842590"/>
    <w:rsid w:val="008632DF"/>
    <w:rsid w:val="00873EB7"/>
    <w:rsid w:val="009677D6"/>
    <w:rsid w:val="00A4418C"/>
    <w:rsid w:val="00A71716"/>
    <w:rsid w:val="00B30641"/>
    <w:rsid w:val="00BE0C21"/>
    <w:rsid w:val="00C64FA8"/>
    <w:rsid w:val="00C764FF"/>
    <w:rsid w:val="00C95191"/>
    <w:rsid w:val="00D03146"/>
    <w:rsid w:val="00D267CC"/>
    <w:rsid w:val="00D6231E"/>
    <w:rsid w:val="00DA64BC"/>
    <w:rsid w:val="00DD29D4"/>
    <w:rsid w:val="00E57F70"/>
    <w:rsid w:val="00ED7A04"/>
    <w:rsid w:val="00F05522"/>
    <w:rsid w:val="00F363BF"/>
    <w:rsid w:val="00F85A0A"/>
    <w:rsid w:val="00FA5C3D"/>
  </w:rsids>
  <m:mathPr>
    <m:mathFont m:val="Cambria Math"/>
    <m:brkBin m:val="before"/>
    <m:brkBinSub m:val="--"/>
    <m:smallFrac m:val="0"/>
    <m:dispDef/>
    <m:lMargin m:val="0"/>
    <m:rMargin m:val="0"/>
    <m:defJc m:val="centerGroup"/>
    <m:wrapIndent m:val="1440"/>
    <m:intLim m:val="subSup"/>
    <m:naryLim m:val="undOvr"/>
  </m:mathPr>
  <w:themeFontLang w:val="fr-L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EE44870-BB33-45ED-93F6-980E4F7AA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L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B4B"/>
    <w:pPr>
      <w:spacing w:after="0" w:line="240" w:lineRule="auto"/>
    </w:pPr>
    <w:rPr>
      <w:rFonts w:ascii="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E43AD"/>
    <w:pPr>
      <w:ind w:left="720"/>
      <w:contextualSpacing/>
    </w:pPr>
  </w:style>
  <w:style w:type="paragraph" w:styleId="Textedebulles">
    <w:name w:val="Balloon Text"/>
    <w:basedOn w:val="Normal"/>
    <w:link w:val="TextedebullesCar"/>
    <w:uiPriority w:val="99"/>
    <w:semiHidden/>
    <w:unhideWhenUsed/>
    <w:rsid w:val="00086E39"/>
    <w:rPr>
      <w:rFonts w:ascii="Segoe UI" w:hAnsi="Segoe UI" w:cs="Segoe UI"/>
      <w:sz w:val="18"/>
      <w:szCs w:val="18"/>
    </w:rPr>
  </w:style>
  <w:style w:type="character" w:customStyle="1" w:styleId="TextedebullesCar">
    <w:name w:val="Texte de bulles Car"/>
    <w:basedOn w:val="Policepardfaut"/>
    <w:link w:val="Textedebulles"/>
    <w:uiPriority w:val="99"/>
    <w:semiHidden/>
    <w:rsid w:val="00086E39"/>
    <w:rPr>
      <w:rFonts w:ascii="Segoe UI" w:hAnsi="Segoe UI" w:cs="Segoe UI"/>
      <w:sz w:val="18"/>
      <w:szCs w:val="18"/>
    </w:rPr>
  </w:style>
  <w:style w:type="paragraph" w:customStyle="1" w:styleId="Graphique">
    <w:name w:val="Graphique"/>
    <w:basedOn w:val="Normal"/>
    <w:link w:val="GraphiqueChar"/>
    <w:qFormat/>
    <w:rsid w:val="00811703"/>
    <w:pPr>
      <w:spacing w:after="120"/>
      <w:jc w:val="center"/>
    </w:pPr>
    <w:rPr>
      <w:rFonts w:ascii="Arial" w:eastAsia="Times New Roman" w:hAnsi="Arial" w:cs="Arial"/>
      <w:b/>
      <w:sz w:val="20"/>
      <w:szCs w:val="20"/>
      <w:lang w:val="fr-FR" w:eastAsia="fr-FR"/>
    </w:rPr>
  </w:style>
  <w:style w:type="character" w:customStyle="1" w:styleId="GraphiqueChar">
    <w:name w:val="Graphique Char"/>
    <w:basedOn w:val="Policepardfaut"/>
    <w:link w:val="Graphique"/>
    <w:rsid w:val="00811703"/>
    <w:rPr>
      <w:rFonts w:ascii="Arial" w:eastAsia="Times New Roman" w:hAnsi="Arial" w:cs="Arial"/>
      <w:b/>
      <w:sz w:val="20"/>
      <w:szCs w:val="20"/>
      <w:lang w:val="fr-FR" w:eastAsia="fr-FR"/>
    </w:rPr>
  </w:style>
  <w:style w:type="character" w:customStyle="1" w:styleId="apple-converted-space">
    <w:name w:val="apple-converted-space"/>
    <w:basedOn w:val="Policepardfaut"/>
    <w:rsid w:val="00DD29D4"/>
  </w:style>
  <w:style w:type="character" w:styleId="Lienhypertexte">
    <w:name w:val="Hyperlink"/>
    <w:basedOn w:val="Policepardfaut"/>
    <w:uiPriority w:val="99"/>
    <w:semiHidden/>
    <w:unhideWhenUsed/>
    <w:rsid w:val="00DD29D4"/>
    <w:rPr>
      <w:color w:val="0000FF"/>
      <w:u w:val="single"/>
    </w:rPr>
  </w:style>
  <w:style w:type="paragraph" w:styleId="Notedebasdepage">
    <w:name w:val="footnote text"/>
    <w:basedOn w:val="Normal"/>
    <w:link w:val="NotedebasdepageCar"/>
    <w:uiPriority w:val="99"/>
    <w:unhideWhenUsed/>
    <w:rsid w:val="00DD29D4"/>
    <w:rPr>
      <w:sz w:val="20"/>
      <w:szCs w:val="20"/>
    </w:rPr>
  </w:style>
  <w:style w:type="character" w:customStyle="1" w:styleId="NotedebasdepageCar">
    <w:name w:val="Note de bas de page Car"/>
    <w:basedOn w:val="Policepardfaut"/>
    <w:link w:val="Notedebasdepage"/>
    <w:uiPriority w:val="99"/>
    <w:rsid w:val="00DD29D4"/>
    <w:rPr>
      <w:rFonts w:ascii="Calibri" w:hAnsi="Calibri" w:cs="Times New Roman"/>
      <w:sz w:val="20"/>
      <w:szCs w:val="20"/>
    </w:rPr>
  </w:style>
  <w:style w:type="character" w:styleId="Appelnotedebasdep">
    <w:name w:val="footnote reference"/>
    <w:basedOn w:val="Policepardfaut"/>
    <w:uiPriority w:val="99"/>
    <w:unhideWhenUsed/>
    <w:rsid w:val="00DD29D4"/>
    <w:rPr>
      <w:vertAlign w:val="superscript"/>
    </w:rPr>
  </w:style>
  <w:style w:type="paragraph" w:customStyle="1" w:styleId="Default">
    <w:name w:val="Default"/>
    <w:rsid w:val="009677D6"/>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44332E"/>
    <w:pPr>
      <w:tabs>
        <w:tab w:val="center" w:pos="4536"/>
        <w:tab w:val="right" w:pos="9072"/>
      </w:tabs>
    </w:pPr>
  </w:style>
  <w:style w:type="character" w:customStyle="1" w:styleId="En-tteCar">
    <w:name w:val="En-tête Car"/>
    <w:basedOn w:val="Policepardfaut"/>
    <w:link w:val="En-tte"/>
    <w:uiPriority w:val="99"/>
    <w:rsid w:val="0044332E"/>
    <w:rPr>
      <w:rFonts w:ascii="Calibri" w:hAnsi="Calibri" w:cs="Times New Roman"/>
    </w:rPr>
  </w:style>
  <w:style w:type="paragraph" w:styleId="Pieddepage">
    <w:name w:val="footer"/>
    <w:basedOn w:val="Normal"/>
    <w:link w:val="PieddepageCar"/>
    <w:uiPriority w:val="99"/>
    <w:unhideWhenUsed/>
    <w:rsid w:val="0044332E"/>
    <w:pPr>
      <w:tabs>
        <w:tab w:val="center" w:pos="4536"/>
        <w:tab w:val="right" w:pos="9072"/>
      </w:tabs>
    </w:pPr>
  </w:style>
  <w:style w:type="character" w:customStyle="1" w:styleId="PieddepageCar">
    <w:name w:val="Pied de page Car"/>
    <w:basedOn w:val="Policepardfaut"/>
    <w:link w:val="Pieddepage"/>
    <w:uiPriority w:val="99"/>
    <w:rsid w:val="0044332E"/>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633389">
      <w:bodyDiv w:val="1"/>
      <w:marLeft w:val="0"/>
      <w:marRight w:val="0"/>
      <w:marTop w:val="0"/>
      <w:marBottom w:val="0"/>
      <w:divBdr>
        <w:top w:val="none" w:sz="0" w:space="0" w:color="auto"/>
        <w:left w:val="none" w:sz="0" w:space="0" w:color="auto"/>
        <w:bottom w:val="none" w:sz="0" w:space="0" w:color="auto"/>
        <w:right w:val="none" w:sz="0" w:space="0" w:color="auto"/>
      </w:divBdr>
    </w:div>
    <w:div w:id="949361792">
      <w:bodyDiv w:val="1"/>
      <w:marLeft w:val="0"/>
      <w:marRight w:val="0"/>
      <w:marTop w:val="0"/>
      <w:marBottom w:val="0"/>
      <w:divBdr>
        <w:top w:val="none" w:sz="0" w:space="0" w:color="auto"/>
        <w:left w:val="none" w:sz="0" w:space="0" w:color="auto"/>
        <w:bottom w:val="none" w:sz="0" w:space="0" w:color="auto"/>
        <w:right w:val="none" w:sz="0" w:space="0" w:color="auto"/>
      </w:divBdr>
      <w:divsChild>
        <w:div w:id="15618042">
          <w:marLeft w:val="0"/>
          <w:marRight w:val="0"/>
          <w:marTop w:val="0"/>
          <w:marBottom w:val="0"/>
          <w:divBdr>
            <w:top w:val="none" w:sz="0" w:space="0" w:color="auto"/>
            <w:left w:val="none" w:sz="0" w:space="0" w:color="auto"/>
            <w:bottom w:val="none" w:sz="0" w:space="0" w:color="auto"/>
            <w:right w:val="none" w:sz="0" w:space="0" w:color="auto"/>
          </w:divBdr>
        </w:div>
      </w:divsChild>
    </w:div>
    <w:div w:id="1128009590">
      <w:bodyDiv w:val="1"/>
      <w:marLeft w:val="0"/>
      <w:marRight w:val="0"/>
      <w:marTop w:val="0"/>
      <w:marBottom w:val="0"/>
      <w:divBdr>
        <w:top w:val="none" w:sz="0" w:space="0" w:color="auto"/>
        <w:left w:val="none" w:sz="0" w:space="0" w:color="auto"/>
        <w:bottom w:val="none" w:sz="0" w:space="0" w:color="auto"/>
        <w:right w:val="none" w:sz="0" w:space="0" w:color="auto"/>
      </w:divBdr>
    </w:div>
    <w:div w:id="1562520126">
      <w:bodyDiv w:val="1"/>
      <w:marLeft w:val="0"/>
      <w:marRight w:val="0"/>
      <w:marTop w:val="0"/>
      <w:marBottom w:val="0"/>
      <w:divBdr>
        <w:top w:val="none" w:sz="0" w:space="0" w:color="auto"/>
        <w:left w:val="none" w:sz="0" w:space="0" w:color="auto"/>
        <w:bottom w:val="none" w:sz="0" w:space="0" w:color="auto"/>
        <w:right w:val="none" w:sz="0" w:space="0" w:color="auto"/>
      </w:divBdr>
    </w:div>
    <w:div w:id="210418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2AC11-412C-4A08-8D2F-F94EEE106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2627</Words>
  <Characters>14453</Characters>
  <Application>Microsoft Office Word</Application>
  <DocSecurity>0</DocSecurity>
  <Lines>120</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Chambre des salariés</Company>
  <LinksUpToDate>false</LinksUpToDate>
  <CharactersWithSpaces>17046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Hoffmann</dc:creator>
  <cp:keywords/>
  <dc:description/>
  <cp:lastModifiedBy>rwolff</cp:lastModifiedBy>
  <cp:revision>2</cp:revision>
  <cp:lastPrinted>2016-03-10T09:33:00Z</cp:lastPrinted>
  <dcterms:created xsi:type="dcterms:W3CDTF">2016-03-10T16:40:00Z</dcterms:created>
  <dcterms:modified xsi:type="dcterms:W3CDTF">2016-03-10T16:40:00Z</dcterms:modified>
</cp:coreProperties>
</file>